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CD" w:rsidRPr="008751F4" w:rsidRDefault="00FA7ECD" w:rsidP="00FE2C86">
      <w:pPr>
        <w:jc w:val="center"/>
        <w:rPr>
          <w:rFonts w:ascii="Times New Roman" w:hAnsi="Times New Roman" w:cs="Times New Roman"/>
          <w:b/>
          <w:sz w:val="24"/>
          <w:szCs w:val="24"/>
          <w:lang w:val="en-US"/>
        </w:rPr>
      </w:pPr>
    </w:p>
    <w:p w:rsidR="00B8154A" w:rsidRPr="008751F4" w:rsidRDefault="00B8154A" w:rsidP="00FE2C86">
      <w:pPr>
        <w:jc w:val="center"/>
        <w:rPr>
          <w:rFonts w:ascii="Times New Roman" w:hAnsi="Times New Roman" w:cs="Times New Roman"/>
          <w:b/>
          <w:sz w:val="24"/>
          <w:szCs w:val="24"/>
          <w:lang w:val="en-US"/>
        </w:rPr>
      </w:pPr>
    </w:p>
    <w:p w:rsidR="00293847" w:rsidRPr="008751F4" w:rsidRDefault="004C42E5" w:rsidP="0090511D">
      <w:pPr>
        <w:jc w:val="center"/>
        <w:rPr>
          <w:rFonts w:ascii="Times New Roman" w:hAnsi="Times New Roman" w:cs="Times New Roman"/>
          <w:b/>
          <w:sz w:val="28"/>
          <w:szCs w:val="24"/>
          <w:lang w:val="en-US"/>
        </w:rPr>
      </w:pPr>
      <w:r w:rsidRPr="008751F4">
        <w:rPr>
          <w:rFonts w:ascii="Times New Roman" w:hAnsi="Times New Roman" w:cs="Times New Roman"/>
          <w:b/>
          <w:sz w:val="32"/>
          <w:szCs w:val="24"/>
          <w:lang w:val="en-US"/>
        </w:rPr>
        <w:t>EXTROVERT</w:t>
      </w:r>
      <w:r w:rsidR="000B0502" w:rsidRPr="008751F4">
        <w:rPr>
          <w:rFonts w:ascii="Times New Roman" w:hAnsi="Times New Roman" w:cs="Times New Roman"/>
          <w:b/>
          <w:sz w:val="32"/>
          <w:szCs w:val="24"/>
          <w:lang w:val="en-US"/>
        </w:rPr>
        <w:t xml:space="preserve"> </w:t>
      </w:r>
      <w:r w:rsidR="0090511D" w:rsidRPr="008751F4">
        <w:rPr>
          <w:rFonts w:ascii="Times New Roman" w:hAnsi="Times New Roman" w:cs="Times New Roman"/>
          <w:b/>
          <w:sz w:val="32"/>
          <w:szCs w:val="24"/>
          <w:lang w:val="en-US"/>
        </w:rPr>
        <w:t>INTEGRATED MANAGEMENT</w:t>
      </w:r>
      <w:r w:rsidR="007C54AA" w:rsidRPr="008751F4">
        <w:rPr>
          <w:rFonts w:ascii="Times New Roman" w:hAnsi="Times New Roman" w:cs="Times New Roman"/>
          <w:b/>
          <w:sz w:val="32"/>
          <w:szCs w:val="24"/>
          <w:lang w:val="en-US"/>
        </w:rPr>
        <w:t xml:space="preserve"> </w:t>
      </w:r>
      <w:r w:rsidR="000A1FDE" w:rsidRPr="008751F4">
        <w:rPr>
          <w:rFonts w:ascii="Times New Roman" w:hAnsi="Times New Roman" w:cs="Times New Roman"/>
          <w:b/>
          <w:sz w:val="32"/>
          <w:szCs w:val="24"/>
          <w:lang w:val="en-US"/>
        </w:rPr>
        <w:t>SYSTEMS</w:t>
      </w:r>
    </w:p>
    <w:p w:rsidR="00293847" w:rsidRPr="008751F4" w:rsidRDefault="00293847" w:rsidP="00293847">
      <w:pPr>
        <w:jc w:val="center"/>
        <w:rPr>
          <w:rFonts w:ascii="Times New Roman" w:hAnsi="Times New Roman" w:cs="Times New Roman"/>
          <w:b/>
          <w:sz w:val="24"/>
          <w:szCs w:val="24"/>
          <w:lang w:val="en-US"/>
        </w:rPr>
      </w:pPr>
    </w:p>
    <w:p w:rsidR="006B7845" w:rsidRPr="008751F4" w:rsidRDefault="006B7845" w:rsidP="00293847">
      <w:pPr>
        <w:jc w:val="center"/>
        <w:rPr>
          <w:rFonts w:ascii="Times New Roman" w:hAnsi="Times New Roman" w:cs="Times New Roman"/>
          <w:b/>
          <w:sz w:val="24"/>
          <w:szCs w:val="24"/>
          <w:lang w:val="en-US"/>
        </w:rPr>
      </w:pPr>
    </w:p>
    <w:p w:rsidR="00293847" w:rsidRDefault="00643981" w:rsidP="00293847">
      <w:pPr>
        <w:jc w:val="center"/>
        <w:rPr>
          <w:rFonts w:ascii="Times New Roman" w:hAnsi="Times New Roman" w:cs="Times New Roman"/>
          <w:b/>
          <w:i/>
          <w:sz w:val="24"/>
          <w:szCs w:val="24"/>
          <w:lang w:val="en-US" w:eastAsia="it-IT"/>
        </w:rPr>
      </w:pPr>
      <w:r w:rsidRPr="008751F4">
        <w:rPr>
          <w:rFonts w:ascii="Times New Roman" w:hAnsi="Times New Roman" w:cs="Times New Roman"/>
          <w:b/>
          <w:i/>
          <w:sz w:val="24"/>
          <w:szCs w:val="24"/>
          <w:lang w:val="en-US" w:eastAsia="it-IT"/>
        </w:rPr>
        <w:t>Maria Gianni</w:t>
      </w:r>
    </w:p>
    <w:p w:rsidR="004D45C1" w:rsidRPr="008751F4" w:rsidRDefault="004D45C1" w:rsidP="004D45C1">
      <w:pPr>
        <w:jc w:val="center"/>
        <w:rPr>
          <w:rFonts w:ascii="Times New Roman" w:hAnsi="Times New Roman" w:cs="Times New Roman"/>
          <w:sz w:val="24"/>
          <w:szCs w:val="24"/>
          <w:lang w:val="en-US" w:eastAsia="it-IT"/>
        </w:rPr>
      </w:pPr>
      <w:r w:rsidRPr="008751F4">
        <w:rPr>
          <w:rFonts w:ascii="Times New Roman" w:hAnsi="Times New Roman" w:cs="Times New Roman"/>
          <w:sz w:val="24"/>
          <w:szCs w:val="24"/>
          <w:lang w:val="en-US" w:eastAsia="it-IT"/>
        </w:rPr>
        <w:t xml:space="preserve">Business </w:t>
      </w:r>
      <w:r>
        <w:rPr>
          <w:rFonts w:ascii="Times New Roman" w:hAnsi="Times New Roman" w:cs="Times New Roman"/>
          <w:sz w:val="24"/>
          <w:szCs w:val="24"/>
          <w:lang w:val="en-US" w:eastAsia="it-IT"/>
        </w:rPr>
        <w:t xml:space="preserve">Excellence Lab, </w:t>
      </w:r>
      <w:r w:rsidRPr="008751F4">
        <w:rPr>
          <w:rFonts w:ascii="Times New Roman" w:hAnsi="Times New Roman" w:cs="Times New Roman"/>
          <w:sz w:val="24"/>
          <w:szCs w:val="24"/>
          <w:lang w:val="en-US" w:eastAsia="it-IT"/>
        </w:rPr>
        <w:t>Department of Business Administration</w:t>
      </w:r>
    </w:p>
    <w:p w:rsidR="00293847" w:rsidRPr="008751F4" w:rsidRDefault="00293847" w:rsidP="00293847">
      <w:pPr>
        <w:jc w:val="center"/>
        <w:rPr>
          <w:rFonts w:ascii="Times New Roman" w:hAnsi="Times New Roman" w:cs="Times New Roman"/>
          <w:sz w:val="24"/>
          <w:szCs w:val="24"/>
          <w:lang w:val="en-US" w:eastAsia="it-IT"/>
        </w:rPr>
      </w:pPr>
      <w:r w:rsidRPr="008751F4">
        <w:rPr>
          <w:rFonts w:ascii="Times New Roman" w:hAnsi="Times New Roman" w:cs="Times New Roman"/>
          <w:sz w:val="24"/>
          <w:szCs w:val="24"/>
          <w:lang w:val="en-US" w:eastAsia="it-IT"/>
        </w:rPr>
        <w:t xml:space="preserve">University of </w:t>
      </w:r>
      <w:r w:rsidR="003E7B4A" w:rsidRPr="008751F4">
        <w:rPr>
          <w:rFonts w:ascii="Times New Roman" w:hAnsi="Times New Roman" w:cs="Times New Roman"/>
          <w:sz w:val="24"/>
          <w:szCs w:val="24"/>
          <w:lang w:val="en-US" w:eastAsia="it-IT"/>
        </w:rPr>
        <w:t>Macedonia, Thessaloniki, Greece</w:t>
      </w:r>
    </w:p>
    <w:p w:rsidR="00293847" w:rsidRPr="008751F4" w:rsidRDefault="003C2880" w:rsidP="00293847">
      <w:pPr>
        <w:jc w:val="center"/>
        <w:rPr>
          <w:rFonts w:ascii="Times New Roman" w:hAnsi="Times New Roman" w:cs="Times New Roman"/>
          <w:sz w:val="24"/>
          <w:szCs w:val="24"/>
          <w:lang w:val="en-US" w:eastAsia="it-IT"/>
        </w:rPr>
      </w:pPr>
      <w:proofErr w:type="gramStart"/>
      <w:r>
        <w:rPr>
          <w:rFonts w:ascii="Times New Roman" w:hAnsi="Times New Roman" w:cs="Times New Roman"/>
          <w:sz w:val="24"/>
          <w:szCs w:val="24"/>
          <w:lang w:val="en-US" w:eastAsia="it-IT"/>
        </w:rPr>
        <w:t>e</w:t>
      </w:r>
      <w:r w:rsidR="00293847" w:rsidRPr="008751F4">
        <w:rPr>
          <w:rFonts w:ascii="Times New Roman" w:hAnsi="Times New Roman" w:cs="Times New Roman"/>
          <w:sz w:val="24"/>
          <w:szCs w:val="24"/>
          <w:lang w:val="en-US" w:eastAsia="it-IT"/>
        </w:rPr>
        <w:t>mail</w:t>
      </w:r>
      <w:proofErr w:type="gramEnd"/>
      <w:r w:rsidR="00DC015A" w:rsidRPr="008751F4">
        <w:rPr>
          <w:rFonts w:ascii="Times New Roman" w:hAnsi="Times New Roman" w:cs="Times New Roman"/>
          <w:sz w:val="24"/>
          <w:szCs w:val="24"/>
          <w:lang w:val="en-US" w:eastAsia="it-IT"/>
        </w:rPr>
        <w:t>:</w:t>
      </w:r>
      <w:r w:rsidR="002D3E46" w:rsidRPr="008751F4">
        <w:rPr>
          <w:rFonts w:ascii="Times New Roman" w:hAnsi="Times New Roman" w:cs="Times New Roman"/>
          <w:sz w:val="24"/>
          <w:szCs w:val="24"/>
          <w:lang w:val="en-US" w:eastAsia="it-IT"/>
        </w:rPr>
        <w:t xml:space="preserve"> </w:t>
      </w:r>
      <w:r w:rsidR="00643981" w:rsidRPr="008751F4">
        <w:rPr>
          <w:rFonts w:ascii="Times New Roman" w:hAnsi="Times New Roman" w:cs="Times New Roman"/>
          <w:sz w:val="24"/>
          <w:szCs w:val="24"/>
          <w:lang w:val="en-US" w:eastAsia="it-IT"/>
        </w:rPr>
        <w:t>giannima@uom.edu.gr</w:t>
      </w:r>
    </w:p>
    <w:p w:rsidR="00413C90" w:rsidRPr="008751F4" w:rsidRDefault="00413C90" w:rsidP="00413C90">
      <w:pPr>
        <w:jc w:val="center"/>
        <w:rPr>
          <w:rFonts w:ascii="Times New Roman" w:hAnsi="Times New Roman" w:cs="Times New Roman"/>
          <w:sz w:val="24"/>
          <w:szCs w:val="24"/>
          <w:lang w:val="en-US" w:eastAsia="it-IT"/>
        </w:rPr>
      </w:pPr>
      <w:r w:rsidRPr="008751F4">
        <w:rPr>
          <w:rFonts w:ascii="Times New Roman" w:hAnsi="Times New Roman" w:cs="Times New Roman"/>
          <w:sz w:val="24"/>
          <w:szCs w:val="24"/>
          <w:lang w:val="en-US" w:eastAsia="it-IT"/>
        </w:rPr>
        <w:t>Corresponding Author</w:t>
      </w:r>
    </w:p>
    <w:p w:rsidR="00413C90" w:rsidRPr="008751F4" w:rsidRDefault="00413C90" w:rsidP="00413C90">
      <w:pPr>
        <w:jc w:val="center"/>
        <w:rPr>
          <w:rFonts w:ascii="Times New Roman" w:hAnsi="Times New Roman" w:cs="Times New Roman"/>
          <w:b/>
          <w:sz w:val="24"/>
          <w:szCs w:val="24"/>
          <w:lang w:val="en-US"/>
        </w:rPr>
      </w:pPr>
    </w:p>
    <w:p w:rsidR="00413C90" w:rsidRPr="008751F4" w:rsidRDefault="00951985" w:rsidP="00413C90">
      <w:pPr>
        <w:jc w:val="center"/>
        <w:rPr>
          <w:rFonts w:ascii="Times New Roman" w:hAnsi="Times New Roman" w:cs="Times New Roman"/>
          <w:b/>
          <w:i/>
          <w:sz w:val="24"/>
          <w:szCs w:val="24"/>
          <w:lang w:val="en-US" w:eastAsia="it-IT"/>
        </w:rPr>
      </w:pPr>
      <w:r w:rsidRPr="008751F4">
        <w:rPr>
          <w:rFonts w:ascii="Times New Roman" w:hAnsi="Times New Roman" w:cs="Times New Roman"/>
          <w:b/>
          <w:i/>
          <w:sz w:val="24"/>
          <w:szCs w:val="24"/>
          <w:lang w:val="en-US" w:eastAsia="it-IT"/>
        </w:rPr>
        <w:t>Katerina Gotz</w:t>
      </w:r>
      <w:r w:rsidR="00643981" w:rsidRPr="008751F4">
        <w:rPr>
          <w:rFonts w:ascii="Times New Roman" w:hAnsi="Times New Roman" w:cs="Times New Roman"/>
          <w:b/>
          <w:i/>
          <w:sz w:val="24"/>
          <w:szCs w:val="24"/>
          <w:lang w:val="en-US" w:eastAsia="it-IT"/>
        </w:rPr>
        <w:t>amani</w:t>
      </w:r>
    </w:p>
    <w:p w:rsidR="00413C90" w:rsidRPr="008751F4" w:rsidRDefault="004D45C1" w:rsidP="00413C90">
      <w:pPr>
        <w:jc w:val="center"/>
        <w:rPr>
          <w:rFonts w:ascii="Times New Roman" w:hAnsi="Times New Roman" w:cs="Times New Roman"/>
          <w:sz w:val="24"/>
          <w:szCs w:val="24"/>
          <w:lang w:val="en-US" w:eastAsia="it-IT"/>
        </w:rPr>
      </w:pPr>
      <w:r w:rsidRPr="008751F4">
        <w:rPr>
          <w:rFonts w:ascii="Times New Roman" w:hAnsi="Times New Roman" w:cs="Times New Roman"/>
          <w:sz w:val="24"/>
          <w:szCs w:val="24"/>
          <w:lang w:val="en-US" w:eastAsia="it-IT"/>
        </w:rPr>
        <w:t xml:space="preserve">Business </w:t>
      </w:r>
      <w:r>
        <w:rPr>
          <w:rFonts w:ascii="Times New Roman" w:hAnsi="Times New Roman" w:cs="Times New Roman"/>
          <w:sz w:val="24"/>
          <w:szCs w:val="24"/>
          <w:lang w:val="en-US" w:eastAsia="it-IT"/>
        </w:rPr>
        <w:t xml:space="preserve">Excellence Lab, </w:t>
      </w:r>
      <w:r w:rsidR="00413C90" w:rsidRPr="008751F4">
        <w:rPr>
          <w:rFonts w:ascii="Times New Roman" w:hAnsi="Times New Roman" w:cs="Times New Roman"/>
          <w:sz w:val="24"/>
          <w:szCs w:val="24"/>
          <w:lang w:val="en-US" w:eastAsia="it-IT"/>
        </w:rPr>
        <w:t xml:space="preserve">Department of </w:t>
      </w:r>
      <w:r w:rsidR="00643981" w:rsidRPr="008751F4">
        <w:rPr>
          <w:rFonts w:ascii="Times New Roman" w:hAnsi="Times New Roman" w:cs="Times New Roman"/>
          <w:sz w:val="24"/>
          <w:szCs w:val="24"/>
          <w:lang w:val="en-US" w:eastAsia="it-IT"/>
        </w:rPr>
        <w:t>Business Administration</w:t>
      </w:r>
    </w:p>
    <w:p w:rsidR="00413C90" w:rsidRPr="008751F4" w:rsidRDefault="00413C90" w:rsidP="00413C90">
      <w:pPr>
        <w:jc w:val="center"/>
        <w:rPr>
          <w:rFonts w:ascii="Times New Roman" w:hAnsi="Times New Roman" w:cs="Times New Roman"/>
          <w:sz w:val="24"/>
          <w:szCs w:val="24"/>
          <w:lang w:val="en-US" w:eastAsia="it-IT"/>
        </w:rPr>
      </w:pPr>
      <w:r w:rsidRPr="008751F4">
        <w:rPr>
          <w:rFonts w:ascii="Times New Roman" w:hAnsi="Times New Roman" w:cs="Times New Roman"/>
          <w:sz w:val="24"/>
          <w:szCs w:val="24"/>
          <w:lang w:val="en-US" w:eastAsia="it-IT"/>
        </w:rPr>
        <w:t xml:space="preserve">University of </w:t>
      </w:r>
      <w:r w:rsidR="00643981" w:rsidRPr="008751F4">
        <w:rPr>
          <w:rFonts w:ascii="Times New Roman" w:hAnsi="Times New Roman" w:cs="Times New Roman"/>
          <w:sz w:val="24"/>
          <w:szCs w:val="24"/>
          <w:lang w:val="en-US" w:eastAsia="it-IT"/>
        </w:rPr>
        <w:t>Macedonia, Thessaloniki, Greece</w:t>
      </w:r>
    </w:p>
    <w:p w:rsidR="00413C90" w:rsidRPr="008751F4" w:rsidRDefault="003C2880" w:rsidP="00413C90">
      <w:pPr>
        <w:jc w:val="center"/>
        <w:rPr>
          <w:rFonts w:ascii="Times New Roman" w:hAnsi="Times New Roman" w:cs="Times New Roman"/>
          <w:sz w:val="24"/>
          <w:szCs w:val="24"/>
          <w:lang w:val="en-US" w:eastAsia="it-IT"/>
        </w:rPr>
      </w:pPr>
      <w:proofErr w:type="gramStart"/>
      <w:r>
        <w:rPr>
          <w:rFonts w:ascii="Times New Roman" w:hAnsi="Times New Roman" w:cs="Times New Roman"/>
          <w:sz w:val="24"/>
          <w:szCs w:val="24"/>
          <w:lang w:val="en-US" w:eastAsia="it-IT"/>
        </w:rPr>
        <w:t>e</w:t>
      </w:r>
      <w:r w:rsidR="00413C90" w:rsidRPr="008751F4">
        <w:rPr>
          <w:rFonts w:ascii="Times New Roman" w:hAnsi="Times New Roman" w:cs="Times New Roman"/>
          <w:sz w:val="24"/>
          <w:szCs w:val="24"/>
          <w:lang w:val="en-US" w:eastAsia="it-IT"/>
        </w:rPr>
        <w:t>mail</w:t>
      </w:r>
      <w:proofErr w:type="gramEnd"/>
      <w:r w:rsidR="00DC015A" w:rsidRPr="008751F4">
        <w:rPr>
          <w:rFonts w:ascii="Times New Roman" w:hAnsi="Times New Roman" w:cs="Times New Roman"/>
          <w:sz w:val="24"/>
          <w:szCs w:val="24"/>
          <w:lang w:val="en-US" w:eastAsia="it-IT"/>
        </w:rPr>
        <w:t>:</w:t>
      </w:r>
      <w:r w:rsidR="00413C90" w:rsidRPr="008751F4">
        <w:rPr>
          <w:rFonts w:ascii="Times New Roman" w:hAnsi="Times New Roman" w:cs="Times New Roman"/>
          <w:sz w:val="24"/>
          <w:szCs w:val="24"/>
          <w:lang w:val="en-US" w:eastAsia="it-IT"/>
        </w:rPr>
        <w:t xml:space="preserve"> </w:t>
      </w:r>
      <w:r w:rsidR="00643981" w:rsidRPr="008751F4">
        <w:rPr>
          <w:rFonts w:ascii="Times New Roman" w:hAnsi="Times New Roman" w:cs="Times New Roman"/>
          <w:sz w:val="24"/>
          <w:szCs w:val="24"/>
          <w:lang w:val="en-US" w:eastAsia="it-IT"/>
        </w:rPr>
        <w:t>kgotza@uom.edu.gr</w:t>
      </w:r>
    </w:p>
    <w:p w:rsidR="00FE2C86" w:rsidRPr="008751F4" w:rsidRDefault="00FE2C86" w:rsidP="00FE2C86">
      <w:pPr>
        <w:jc w:val="center"/>
        <w:rPr>
          <w:rFonts w:ascii="Times New Roman" w:hAnsi="Times New Roman" w:cs="Times New Roman"/>
          <w:b/>
          <w:sz w:val="24"/>
          <w:szCs w:val="24"/>
          <w:lang w:val="en-US"/>
        </w:rPr>
      </w:pPr>
    </w:p>
    <w:p w:rsidR="002C1A6C" w:rsidRPr="008751F4" w:rsidRDefault="002C1A6C" w:rsidP="00FE2C86">
      <w:pPr>
        <w:jc w:val="center"/>
        <w:rPr>
          <w:rFonts w:ascii="Times New Roman" w:hAnsi="Times New Roman" w:cs="Times New Roman"/>
          <w:b/>
          <w:sz w:val="24"/>
          <w:szCs w:val="24"/>
          <w:lang w:val="en-US"/>
        </w:rPr>
      </w:pPr>
    </w:p>
    <w:p w:rsidR="00FE2C86" w:rsidRPr="008751F4" w:rsidRDefault="00FE2C86" w:rsidP="00FE2C86">
      <w:pPr>
        <w:rPr>
          <w:rFonts w:ascii="Times New Roman" w:hAnsi="Times New Roman" w:cs="Times New Roman"/>
          <w:b/>
          <w:sz w:val="24"/>
          <w:szCs w:val="24"/>
          <w:lang w:val="en-US"/>
        </w:rPr>
      </w:pPr>
    </w:p>
    <w:p w:rsidR="00FE2C86" w:rsidRPr="008751F4" w:rsidRDefault="00FE2C86" w:rsidP="00FE2C86">
      <w:pPr>
        <w:rPr>
          <w:rFonts w:ascii="Times New Roman" w:hAnsi="Times New Roman" w:cs="Times New Roman"/>
          <w:b/>
          <w:sz w:val="24"/>
          <w:szCs w:val="24"/>
          <w:lang w:val="en-US"/>
        </w:rPr>
      </w:pPr>
      <w:r w:rsidRPr="008751F4">
        <w:rPr>
          <w:rFonts w:ascii="Times New Roman" w:hAnsi="Times New Roman" w:cs="Times New Roman"/>
          <w:b/>
          <w:sz w:val="24"/>
          <w:szCs w:val="24"/>
          <w:lang w:val="en-US"/>
        </w:rPr>
        <w:t>Abstract:</w:t>
      </w:r>
    </w:p>
    <w:p w:rsidR="00FE2C86" w:rsidRPr="008751F4" w:rsidRDefault="00FE2C86" w:rsidP="00FE2C86">
      <w:pPr>
        <w:ind w:firstLine="284"/>
        <w:jc w:val="both"/>
        <w:rPr>
          <w:rFonts w:ascii="Times New Roman" w:hAnsi="Times New Roman" w:cs="Times New Roman"/>
          <w:i/>
          <w:sz w:val="24"/>
          <w:szCs w:val="24"/>
          <w:lang w:val="en-US" w:eastAsia="it-IT"/>
        </w:rPr>
      </w:pPr>
      <w:bookmarkStart w:id="0" w:name="_GoBack"/>
      <w:bookmarkEnd w:id="0"/>
    </w:p>
    <w:p w:rsidR="00BC5E48" w:rsidRPr="008751F4" w:rsidRDefault="00BC5E48" w:rsidP="00BC5E48">
      <w:pPr>
        <w:spacing w:after="120"/>
        <w:jc w:val="both"/>
        <w:rPr>
          <w:rFonts w:ascii="Times New Roman" w:hAnsi="Times New Roman" w:cs="Times New Roman"/>
          <w:sz w:val="24"/>
          <w:szCs w:val="24"/>
          <w:lang w:val="en-GB"/>
        </w:rPr>
      </w:pPr>
      <w:r w:rsidRPr="008751F4">
        <w:rPr>
          <w:rFonts w:ascii="Times New Roman" w:hAnsi="Times New Roman" w:cs="Times New Roman"/>
          <w:b/>
          <w:i/>
          <w:sz w:val="24"/>
          <w:szCs w:val="24"/>
          <w:lang w:val="en-GB" w:eastAsia="it-IT"/>
        </w:rPr>
        <w:t>Purpose of the paper</w:t>
      </w:r>
      <w:r w:rsidRPr="008751F4">
        <w:rPr>
          <w:rFonts w:ascii="Times New Roman" w:hAnsi="Times New Roman" w:cs="Times New Roman"/>
          <w:i/>
          <w:sz w:val="24"/>
          <w:szCs w:val="24"/>
          <w:lang w:val="en-GB" w:eastAsia="it-IT"/>
        </w:rPr>
        <w:t xml:space="preserve">: </w:t>
      </w:r>
      <w:r w:rsidRPr="008751F4">
        <w:rPr>
          <w:rFonts w:ascii="Times New Roman" w:hAnsi="Times New Roman" w:cs="Times New Roman"/>
          <w:sz w:val="24"/>
          <w:szCs w:val="24"/>
          <w:lang w:val="en-GB" w:eastAsia="it-IT"/>
        </w:rPr>
        <w:t>T</w:t>
      </w:r>
      <w:r w:rsidRPr="008751F4">
        <w:rPr>
          <w:rFonts w:ascii="Times New Roman" w:hAnsi="Times New Roman" w:cs="Times New Roman"/>
          <w:sz w:val="24"/>
          <w:szCs w:val="24"/>
          <w:lang w:val="en-GB"/>
        </w:rPr>
        <w:t xml:space="preserve">his research </w:t>
      </w:r>
      <w:r w:rsidR="0009278F">
        <w:rPr>
          <w:rFonts w:ascii="Times New Roman" w:hAnsi="Times New Roman" w:cs="Times New Roman"/>
          <w:sz w:val="24"/>
          <w:szCs w:val="24"/>
          <w:lang w:val="en-GB"/>
        </w:rPr>
        <w:t xml:space="preserve">aims at operationalizing the integration of management systems and corporate sustainability performance (CSP) by </w:t>
      </w:r>
      <w:r w:rsidRPr="008751F4">
        <w:rPr>
          <w:rFonts w:ascii="Times New Roman" w:hAnsi="Times New Roman" w:cs="Times New Roman"/>
          <w:sz w:val="24"/>
          <w:szCs w:val="24"/>
          <w:lang w:val="en-GB"/>
        </w:rPr>
        <w:t>draw</w:t>
      </w:r>
      <w:r w:rsidR="0009278F">
        <w:rPr>
          <w:rFonts w:ascii="Times New Roman" w:hAnsi="Times New Roman" w:cs="Times New Roman"/>
          <w:sz w:val="24"/>
          <w:szCs w:val="24"/>
          <w:lang w:val="en-GB"/>
        </w:rPr>
        <w:t xml:space="preserve">ing on resource, </w:t>
      </w:r>
      <w:r w:rsidRPr="008751F4">
        <w:rPr>
          <w:rFonts w:ascii="Times New Roman" w:hAnsi="Times New Roman" w:cs="Times New Roman"/>
          <w:sz w:val="24"/>
          <w:szCs w:val="24"/>
          <w:lang w:val="en-GB"/>
        </w:rPr>
        <w:t xml:space="preserve">institutional </w:t>
      </w:r>
      <w:r w:rsidR="0009278F">
        <w:rPr>
          <w:rFonts w:ascii="Times New Roman" w:hAnsi="Times New Roman" w:cs="Times New Roman"/>
          <w:sz w:val="24"/>
          <w:szCs w:val="24"/>
          <w:lang w:val="en-GB"/>
        </w:rPr>
        <w:t xml:space="preserve">and stakeholder </w:t>
      </w:r>
      <w:r w:rsidRPr="008751F4">
        <w:rPr>
          <w:rFonts w:ascii="Times New Roman" w:hAnsi="Times New Roman" w:cs="Times New Roman"/>
          <w:sz w:val="24"/>
          <w:szCs w:val="24"/>
          <w:lang w:val="en-GB"/>
        </w:rPr>
        <w:t>theories.</w:t>
      </w:r>
      <w:r w:rsidR="00AD3286">
        <w:rPr>
          <w:rFonts w:ascii="Times New Roman" w:hAnsi="Times New Roman" w:cs="Times New Roman"/>
          <w:sz w:val="24"/>
          <w:szCs w:val="24"/>
          <w:lang w:val="en-GB"/>
        </w:rPr>
        <w:t xml:space="preserve"> The adopted approach measures how far internalized the integration of multiple</w:t>
      </w:r>
      <w:r w:rsidR="0009278F">
        <w:rPr>
          <w:rFonts w:ascii="Times New Roman" w:hAnsi="Times New Roman" w:cs="Times New Roman"/>
          <w:sz w:val="24"/>
          <w:szCs w:val="24"/>
          <w:lang w:val="en-GB"/>
        </w:rPr>
        <w:t xml:space="preserve"> management systems </w:t>
      </w:r>
      <w:r w:rsidR="00AD3286">
        <w:rPr>
          <w:rFonts w:ascii="Times New Roman" w:hAnsi="Times New Roman" w:cs="Times New Roman"/>
          <w:sz w:val="24"/>
          <w:szCs w:val="24"/>
          <w:lang w:val="en-GB"/>
        </w:rPr>
        <w:t>is in terms of integration resources and integration level.</w:t>
      </w:r>
    </w:p>
    <w:p w:rsidR="00BC5E48" w:rsidRPr="008751F4" w:rsidRDefault="00BC5E48" w:rsidP="00BC5E48">
      <w:pPr>
        <w:autoSpaceDE w:val="0"/>
        <w:autoSpaceDN w:val="0"/>
        <w:adjustRightInd w:val="0"/>
        <w:spacing w:after="120"/>
        <w:jc w:val="both"/>
        <w:rPr>
          <w:rFonts w:ascii="Times New Roman" w:hAnsi="Times New Roman" w:cs="Times New Roman"/>
          <w:sz w:val="24"/>
          <w:szCs w:val="24"/>
          <w:lang w:val="en-US"/>
        </w:rPr>
      </w:pPr>
      <w:r w:rsidRPr="008751F4">
        <w:rPr>
          <w:rFonts w:ascii="Times New Roman" w:hAnsi="Times New Roman" w:cs="Times New Roman"/>
          <w:b/>
          <w:i/>
          <w:sz w:val="24"/>
          <w:szCs w:val="24"/>
          <w:lang w:val="en-GB" w:eastAsia="it-IT"/>
        </w:rPr>
        <w:t>Methodology</w:t>
      </w:r>
      <w:r w:rsidRPr="008751F4">
        <w:rPr>
          <w:rFonts w:ascii="Times New Roman" w:hAnsi="Times New Roman" w:cs="Times New Roman"/>
          <w:i/>
          <w:sz w:val="24"/>
          <w:szCs w:val="24"/>
          <w:lang w:val="en-GB" w:eastAsia="it-IT"/>
        </w:rPr>
        <w:t xml:space="preserve">: </w:t>
      </w:r>
      <w:r w:rsidRPr="008751F4">
        <w:rPr>
          <w:rFonts w:ascii="Times New Roman" w:hAnsi="Times New Roman" w:cs="Times New Roman"/>
          <w:sz w:val="24"/>
          <w:szCs w:val="24"/>
          <w:lang w:val="en-GB" w:eastAsia="it-IT"/>
        </w:rPr>
        <w:t xml:space="preserve">The </w:t>
      </w:r>
      <w:r w:rsidR="0009278F">
        <w:rPr>
          <w:rFonts w:ascii="Times New Roman" w:hAnsi="Times New Roman" w:cs="Times New Roman"/>
          <w:sz w:val="24"/>
          <w:szCs w:val="24"/>
          <w:lang w:val="en-GB" w:eastAsia="it-IT"/>
        </w:rPr>
        <w:t>measuring instrument</w:t>
      </w:r>
      <w:r w:rsidRPr="008751F4">
        <w:rPr>
          <w:rFonts w:ascii="Times New Roman" w:hAnsi="Times New Roman" w:cs="Times New Roman"/>
          <w:sz w:val="24"/>
          <w:szCs w:val="24"/>
          <w:lang w:val="en-GB"/>
        </w:rPr>
        <w:t xml:space="preserve"> has been designed and administered to Greek organizations certified to two or more management system standards. Collected data from 280</w:t>
      </w:r>
      <w:r w:rsidRPr="008751F4">
        <w:rPr>
          <w:rFonts w:ascii="Times New Roman" w:hAnsi="Times New Roman" w:cs="Times New Roman"/>
          <w:sz w:val="24"/>
          <w:szCs w:val="24"/>
          <w:lang w:val="en-US"/>
        </w:rPr>
        <w:t xml:space="preserve"> respondents has been processed using exploratory factor analysis. </w:t>
      </w:r>
    </w:p>
    <w:p w:rsidR="00AD3286" w:rsidRDefault="00F74360" w:rsidP="00BC5E48">
      <w:pPr>
        <w:spacing w:after="120"/>
        <w:jc w:val="both"/>
        <w:rPr>
          <w:rFonts w:ascii="Times New Roman" w:hAnsi="Times New Roman" w:cs="Times New Roman"/>
          <w:sz w:val="24"/>
          <w:szCs w:val="24"/>
          <w:lang w:val="en-US" w:eastAsia="it-IT"/>
        </w:rPr>
      </w:pPr>
      <w:r>
        <w:rPr>
          <w:rFonts w:ascii="Times New Roman" w:hAnsi="Times New Roman" w:cs="Times New Roman"/>
          <w:b/>
          <w:i/>
          <w:sz w:val="24"/>
          <w:szCs w:val="24"/>
          <w:lang w:val="en-US" w:eastAsia="it-IT"/>
        </w:rPr>
        <w:t>Main f</w:t>
      </w:r>
      <w:r w:rsidR="00BC5E48" w:rsidRPr="008751F4">
        <w:rPr>
          <w:rFonts w:ascii="Times New Roman" w:hAnsi="Times New Roman" w:cs="Times New Roman"/>
          <w:b/>
          <w:i/>
          <w:sz w:val="24"/>
          <w:szCs w:val="24"/>
          <w:lang w:val="en-US" w:eastAsia="it-IT"/>
        </w:rPr>
        <w:t>indings</w:t>
      </w:r>
      <w:r w:rsidR="00BC5E48" w:rsidRPr="008751F4">
        <w:rPr>
          <w:rFonts w:ascii="Times New Roman" w:hAnsi="Times New Roman" w:cs="Times New Roman"/>
          <w:i/>
          <w:sz w:val="24"/>
          <w:szCs w:val="24"/>
          <w:lang w:val="en-US" w:eastAsia="it-IT"/>
        </w:rPr>
        <w:t xml:space="preserve">: </w:t>
      </w:r>
      <w:r w:rsidR="00BC5E48" w:rsidRPr="008751F4">
        <w:rPr>
          <w:rFonts w:ascii="Times New Roman" w:hAnsi="Times New Roman" w:cs="Times New Roman"/>
          <w:sz w:val="24"/>
          <w:szCs w:val="24"/>
          <w:lang w:val="en-US" w:eastAsia="it-IT"/>
        </w:rPr>
        <w:t>The extracted inte</w:t>
      </w:r>
      <w:r w:rsidR="00CD2813">
        <w:rPr>
          <w:rFonts w:ascii="Times New Roman" w:hAnsi="Times New Roman" w:cs="Times New Roman"/>
          <w:sz w:val="24"/>
          <w:szCs w:val="24"/>
          <w:lang w:val="en-US" w:eastAsia="it-IT"/>
        </w:rPr>
        <w:t>rnalizat</w:t>
      </w:r>
      <w:r w:rsidR="00BC5E48" w:rsidRPr="008751F4">
        <w:rPr>
          <w:rFonts w:ascii="Times New Roman" w:hAnsi="Times New Roman" w:cs="Times New Roman"/>
          <w:sz w:val="24"/>
          <w:szCs w:val="24"/>
          <w:lang w:val="en-US" w:eastAsia="it-IT"/>
        </w:rPr>
        <w:t xml:space="preserve">ion factors are </w:t>
      </w:r>
      <w:r w:rsidR="00CD2813">
        <w:rPr>
          <w:rFonts w:ascii="Times New Roman" w:hAnsi="Times New Roman" w:cs="Times New Roman"/>
          <w:sz w:val="24"/>
          <w:szCs w:val="24"/>
          <w:lang w:val="en-US" w:eastAsia="it-IT"/>
        </w:rPr>
        <w:t>human resources, strategic resources</w:t>
      </w:r>
      <w:r w:rsidR="00BC5E48" w:rsidRPr="008751F4">
        <w:rPr>
          <w:rFonts w:ascii="Times New Roman" w:hAnsi="Times New Roman" w:cs="Times New Roman"/>
          <w:sz w:val="24"/>
          <w:szCs w:val="24"/>
          <w:lang w:val="en-US" w:eastAsia="it-IT"/>
        </w:rPr>
        <w:t xml:space="preserve">, information systems, integration tools, outsourcing, internal processes integration level and audits' integration level. The extracted CSP factors are customer-supplier relationship, employees, </w:t>
      </w:r>
      <w:r w:rsidR="00CD2813">
        <w:rPr>
          <w:rFonts w:ascii="Times New Roman" w:hAnsi="Times New Roman" w:cs="Times New Roman"/>
          <w:sz w:val="24"/>
          <w:szCs w:val="24"/>
          <w:lang w:val="en-US" w:eastAsia="it-IT"/>
        </w:rPr>
        <w:t>financial institutions</w:t>
      </w:r>
      <w:r w:rsidR="00BC5E48" w:rsidRPr="008751F4">
        <w:rPr>
          <w:rFonts w:ascii="Times New Roman" w:hAnsi="Times New Roman" w:cs="Times New Roman"/>
          <w:sz w:val="24"/>
          <w:szCs w:val="24"/>
          <w:lang w:val="en-US" w:eastAsia="it-IT"/>
        </w:rPr>
        <w:t xml:space="preserve">, the environment, state and society. </w:t>
      </w:r>
    </w:p>
    <w:p w:rsidR="00BC5E48" w:rsidRPr="008751F4" w:rsidRDefault="00BC5E48" w:rsidP="00BC5E48">
      <w:pPr>
        <w:spacing w:after="120"/>
        <w:jc w:val="both"/>
        <w:rPr>
          <w:rFonts w:ascii="Times New Roman" w:hAnsi="Times New Roman" w:cs="Times New Roman"/>
          <w:sz w:val="24"/>
          <w:szCs w:val="24"/>
          <w:lang w:val="en-US" w:eastAsia="it-IT"/>
        </w:rPr>
      </w:pPr>
      <w:r w:rsidRPr="008751F4">
        <w:rPr>
          <w:rFonts w:ascii="Times New Roman" w:hAnsi="Times New Roman" w:cs="Times New Roman"/>
          <w:b/>
          <w:i/>
          <w:sz w:val="24"/>
          <w:szCs w:val="24"/>
          <w:lang w:val="en-US" w:eastAsia="it-IT"/>
        </w:rPr>
        <w:t>Practical implications</w:t>
      </w:r>
      <w:r w:rsidRPr="008751F4">
        <w:rPr>
          <w:rFonts w:ascii="Times New Roman" w:hAnsi="Times New Roman" w:cs="Times New Roman"/>
          <w:i/>
          <w:sz w:val="24"/>
          <w:szCs w:val="24"/>
          <w:lang w:val="en-US" w:eastAsia="it-IT"/>
        </w:rPr>
        <w:t xml:space="preserve">: </w:t>
      </w:r>
      <w:r w:rsidRPr="008751F4">
        <w:rPr>
          <w:rFonts w:ascii="Times New Roman" w:hAnsi="Times New Roman" w:cs="Times New Roman"/>
          <w:sz w:val="24"/>
          <w:szCs w:val="24"/>
          <w:lang w:val="en-US" w:eastAsia="it-IT"/>
        </w:rPr>
        <w:t xml:space="preserve">Findings may be </w:t>
      </w:r>
      <w:r w:rsidR="00AD3286">
        <w:rPr>
          <w:rFonts w:ascii="Times New Roman" w:hAnsi="Times New Roman" w:cs="Times New Roman"/>
          <w:sz w:val="24"/>
          <w:szCs w:val="24"/>
          <w:lang w:val="en-US" w:eastAsia="it-IT"/>
        </w:rPr>
        <w:t>use</w:t>
      </w:r>
      <w:r w:rsidRPr="008751F4">
        <w:rPr>
          <w:rFonts w:ascii="Times New Roman" w:hAnsi="Times New Roman" w:cs="Times New Roman"/>
          <w:sz w:val="24"/>
          <w:szCs w:val="24"/>
          <w:lang w:val="en-US" w:eastAsia="it-IT"/>
        </w:rPr>
        <w:t xml:space="preserve">d by management professionals, certification bodies and governmental authorities in order to foster the implementation of multiple management systems. </w:t>
      </w:r>
    </w:p>
    <w:p w:rsidR="00BC5E48" w:rsidRPr="008751F4" w:rsidRDefault="00BC5E48" w:rsidP="00BC5E48">
      <w:pPr>
        <w:spacing w:after="120"/>
        <w:jc w:val="both"/>
        <w:rPr>
          <w:rFonts w:ascii="Times New Roman" w:hAnsi="Times New Roman" w:cs="Times New Roman"/>
          <w:sz w:val="24"/>
          <w:szCs w:val="24"/>
          <w:lang w:val="en-US" w:eastAsia="it-IT"/>
        </w:rPr>
      </w:pPr>
      <w:r w:rsidRPr="008751F4">
        <w:rPr>
          <w:rFonts w:ascii="Times New Roman" w:hAnsi="Times New Roman" w:cs="Times New Roman"/>
          <w:b/>
          <w:i/>
          <w:sz w:val="24"/>
          <w:szCs w:val="24"/>
          <w:lang w:val="en-US" w:eastAsia="it-IT"/>
        </w:rPr>
        <w:t>Originality/value</w:t>
      </w:r>
      <w:r w:rsidRPr="008751F4">
        <w:rPr>
          <w:rFonts w:ascii="Times New Roman" w:hAnsi="Times New Roman" w:cs="Times New Roman"/>
          <w:i/>
          <w:sz w:val="24"/>
          <w:szCs w:val="24"/>
          <w:lang w:val="en-US" w:eastAsia="it-IT"/>
        </w:rPr>
        <w:t xml:space="preserve">: </w:t>
      </w:r>
      <w:r w:rsidRPr="008751F4">
        <w:rPr>
          <w:rFonts w:ascii="Times New Roman" w:hAnsi="Times New Roman" w:cs="Times New Roman"/>
          <w:sz w:val="24"/>
          <w:szCs w:val="24"/>
          <w:lang w:val="en-US" w:eastAsia="it-IT"/>
        </w:rPr>
        <w:t>To the best of the authors’ knowledge this research is one of the first attempts to understand the</w:t>
      </w:r>
      <w:r w:rsidR="00AD3286">
        <w:rPr>
          <w:rFonts w:ascii="Times New Roman" w:hAnsi="Times New Roman" w:cs="Times New Roman"/>
          <w:sz w:val="24"/>
          <w:szCs w:val="24"/>
          <w:lang w:val="en-US" w:eastAsia="it-IT"/>
        </w:rPr>
        <w:t xml:space="preserve"> internalization of integrated </w:t>
      </w:r>
      <w:r w:rsidRPr="008751F4">
        <w:rPr>
          <w:rFonts w:ascii="Times New Roman" w:hAnsi="Times New Roman" w:cs="Times New Roman"/>
          <w:sz w:val="24"/>
          <w:szCs w:val="24"/>
          <w:lang w:val="en-US" w:eastAsia="it-IT"/>
        </w:rPr>
        <w:t>management systems</w:t>
      </w:r>
      <w:r w:rsidR="00AD3286">
        <w:rPr>
          <w:rFonts w:ascii="Times New Roman" w:hAnsi="Times New Roman" w:cs="Times New Roman"/>
          <w:sz w:val="24"/>
          <w:szCs w:val="24"/>
          <w:lang w:val="en-US" w:eastAsia="it-IT"/>
        </w:rPr>
        <w:t xml:space="preserve"> and its relationship with corporate sustainability within a wide</w:t>
      </w:r>
      <w:r w:rsidRPr="008751F4">
        <w:rPr>
          <w:rFonts w:ascii="Times New Roman" w:hAnsi="Times New Roman" w:cs="Times New Roman"/>
          <w:sz w:val="24"/>
          <w:szCs w:val="24"/>
          <w:lang w:val="en-US" w:eastAsia="it-IT"/>
        </w:rPr>
        <w:t xml:space="preserve"> context, far beyond the bou</w:t>
      </w:r>
      <w:r w:rsidR="0009278F">
        <w:rPr>
          <w:rFonts w:ascii="Times New Roman" w:hAnsi="Times New Roman" w:cs="Times New Roman"/>
          <w:sz w:val="24"/>
          <w:szCs w:val="24"/>
          <w:lang w:val="en-US" w:eastAsia="it-IT"/>
        </w:rPr>
        <w:t>ndaries of a single enterprise, assimilating the perspectives of the stakeholders.</w:t>
      </w:r>
    </w:p>
    <w:p w:rsidR="00BC5E48" w:rsidRPr="008751F4" w:rsidRDefault="00BC5E48" w:rsidP="00BC5E48">
      <w:pPr>
        <w:spacing w:after="120"/>
        <w:jc w:val="both"/>
        <w:rPr>
          <w:rFonts w:ascii="Times New Roman" w:hAnsi="Times New Roman" w:cs="Times New Roman"/>
          <w:i/>
          <w:sz w:val="24"/>
          <w:szCs w:val="24"/>
          <w:lang w:val="en-GB" w:eastAsia="it-IT"/>
        </w:rPr>
      </w:pPr>
      <w:r w:rsidRPr="008751F4">
        <w:rPr>
          <w:rFonts w:ascii="Times New Roman" w:hAnsi="Times New Roman" w:cs="Times New Roman"/>
          <w:b/>
          <w:i/>
          <w:sz w:val="24"/>
          <w:szCs w:val="24"/>
          <w:lang w:val="en-GB" w:eastAsia="it-IT"/>
        </w:rPr>
        <w:t>Type of paper</w:t>
      </w:r>
      <w:r w:rsidRPr="008751F4">
        <w:rPr>
          <w:rFonts w:ascii="Times New Roman" w:hAnsi="Times New Roman" w:cs="Times New Roman"/>
          <w:i/>
          <w:sz w:val="24"/>
          <w:szCs w:val="24"/>
          <w:lang w:val="en-GB" w:eastAsia="it-IT"/>
        </w:rPr>
        <w:t xml:space="preserve">: </w:t>
      </w:r>
      <w:r w:rsidRPr="008751F4">
        <w:rPr>
          <w:rFonts w:ascii="Times New Roman" w:hAnsi="Times New Roman" w:cs="Times New Roman"/>
          <w:sz w:val="24"/>
          <w:szCs w:val="24"/>
          <w:lang w:val="en-GB" w:eastAsia="it-IT"/>
        </w:rPr>
        <w:t>Research paper</w:t>
      </w:r>
    </w:p>
    <w:p w:rsidR="00BC5E48" w:rsidRPr="008751F4" w:rsidRDefault="00BC5E48" w:rsidP="00BC5E48">
      <w:pPr>
        <w:rPr>
          <w:rFonts w:ascii="Times New Roman" w:hAnsi="Times New Roman" w:cs="Times New Roman"/>
          <w:sz w:val="24"/>
          <w:szCs w:val="24"/>
          <w:lang w:val="en-US"/>
        </w:rPr>
      </w:pPr>
      <w:r w:rsidRPr="008751F4">
        <w:rPr>
          <w:rFonts w:ascii="Times New Roman" w:hAnsi="Times New Roman" w:cs="Times New Roman"/>
          <w:b/>
          <w:i/>
          <w:sz w:val="24"/>
          <w:szCs w:val="24"/>
          <w:lang w:val="en-US"/>
        </w:rPr>
        <w:t>Keywords</w:t>
      </w:r>
      <w:r w:rsidRPr="008751F4">
        <w:rPr>
          <w:rFonts w:ascii="Times New Roman" w:hAnsi="Times New Roman" w:cs="Times New Roman"/>
          <w:i/>
          <w:sz w:val="24"/>
          <w:szCs w:val="24"/>
          <w:lang w:val="en-US"/>
        </w:rPr>
        <w:t xml:space="preserve">: </w:t>
      </w:r>
      <w:r w:rsidRPr="008751F4">
        <w:rPr>
          <w:rFonts w:ascii="Times New Roman" w:hAnsi="Times New Roman" w:cs="Times New Roman"/>
          <w:sz w:val="24"/>
          <w:szCs w:val="24"/>
          <w:lang w:val="en-US"/>
        </w:rPr>
        <w:t>integrated management system; corporate sustainability; performance; stakeholder theory; resource theory; internalization</w:t>
      </w:r>
    </w:p>
    <w:p w:rsidR="00EC1863" w:rsidRPr="008751F4" w:rsidRDefault="00EC1863" w:rsidP="00FE2C86">
      <w:pPr>
        <w:rPr>
          <w:rFonts w:ascii="Times New Roman" w:hAnsi="Times New Roman" w:cs="Times New Roman"/>
          <w:sz w:val="24"/>
          <w:szCs w:val="24"/>
          <w:lang w:val="en-US"/>
        </w:rPr>
      </w:pPr>
    </w:p>
    <w:p w:rsidR="004D45C1" w:rsidRDefault="004D45C1">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rsidR="00A1221B" w:rsidRDefault="00A1221B" w:rsidP="00A1221B">
      <w:pPr>
        <w:pStyle w:val="Paragraphedeliste"/>
        <w:numPr>
          <w:ilvl w:val="0"/>
          <w:numId w:val="1"/>
        </w:numPr>
        <w:spacing w:after="0" w:line="240" w:lineRule="auto"/>
        <w:ind w:left="274" w:hanging="274"/>
        <w:contextualSpacing w:val="0"/>
        <w:jc w:val="both"/>
        <w:rPr>
          <w:rFonts w:ascii="Times New Roman" w:hAnsi="Times New Roman"/>
          <w:b/>
          <w:sz w:val="24"/>
          <w:szCs w:val="24"/>
          <w:lang w:val="en-US"/>
        </w:rPr>
      </w:pPr>
      <w:r>
        <w:rPr>
          <w:rFonts w:ascii="Times New Roman" w:hAnsi="Times New Roman"/>
          <w:b/>
          <w:sz w:val="24"/>
          <w:szCs w:val="24"/>
          <w:lang w:val="en-US"/>
        </w:rPr>
        <w:lastRenderedPageBreak/>
        <w:t>Introduction</w:t>
      </w:r>
    </w:p>
    <w:p w:rsidR="00964544" w:rsidRPr="008751F4" w:rsidRDefault="00964544" w:rsidP="00C1414A">
      <w:pPr>
        <w:ind w:left="270" w:hanging="270"/>
        <w:jc w:val="both"/>
        <w:rPr>
          <w:rFonts w:ascii="Times New Roman" w:hAnsi="Times New Roman" w:cs="Times New Roman"/>
          <w:b/>
          <w:sz w:val="24"/>
          <w:szCs w:val="24"/>
          <w:lang w:val="en-US"/>
        </w:rPr>
      </w:pPr>
    </w:p>
    <w:p w:rsidR="00964544" w:rsidRDefault="006E0032" w:rsidP="00C1414A">
      <w:pPr>
        <w:ind w:firstLine="28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Proliferation of management system standards and systems has produced complexities difficult for organizations to cope with. The need for concurrent development and monitoring of multiple management systems has lead to the creation of integrated management systems. </w:t>
      </w:r>
      <w:r w:rsidR="00F15EE3" w:rsidRPr="008751F4">
        <w:rPr>
          <w:rFonts w:ascii="Times New Roman" w:hAnsi="Times New Roman" w:cs="Times New Roman"/>
          <w:sz w:val="24"/>
          <w:szCs w:val="24"/>
          <w:lang w:val="en-US"/>
        </w:rPr>
        <w:t>In the</w:t>
      </w:r>
      <w:r w:rsidR="00964544" w:rsidRPr="008751F4">
        <w:rPr>
          <w:rFonts w:ascii="Times New Roman" w:hAnsi="Times New Roman" w:cs="Times New Roman"/>
          <w:sz w:val="24"/>
          <w:szCs w:val="24"/>
          <w:lang w:val="en-US"/>
        </w:rPr>
        <w:t xml:space="preserve"> last decade a wide literature spectrum has evolved covering many aspects of integrated management systems</w:t>
      </w:r>
      <w:r w:rsidR="00E26450">
        <w:rPr>
          <w:rFonts w:ascii="Times New Roman" w:hAnsi="Times New Roman" w:cs="Times New Roman"/>
          <w:sz w:val="24"/>
          <w:szCs w:val="24"/>
          <w:lang w:val="en-US"/>
        </w:rPr>
        <w:t xml:space="preserve"> (Nunhes et al., 2019)</w:t>
      </w:r>
      <w:r w:rsidR="00964544" w:rsidRPr="008751F4">
        <w:rPr>
          <w:rFonts w:ascii="Times New Roman" w:hAnsi="Times New Roman" w:cs="Times New Roman"/>
          <w:sz w:val="24"/>
          <w:szCs w:val="24"/>
          <w:lang w:val="en-US"/>
        </w:rPr>
        <w:t>, starting from the mere paragraph matching of multiple discipline-specific or sector-oriented standards, followed by the merging of processes and procedures of isolat</w:t>
      </w:r>
      <w:r w:rsidR="00C66A57">
        <w:rPr>
          <w:rFonts w:ascii="Times New Roman" w:hAnsi="Times New Roman" w:cs="Times New Roman"/>
          <w:sz w:val="24"/>
          <w:szCs w:val="24"/>
          <w:lang w:val="en-US"/>
        </w:rPr>
        <w:t xml:space="preserve">ed management systems and, </w:t>
      </w:r>
      <w:r w:rsidR="00964544" w:rsidRPr="008751F4">
        <w:rPr>
          <w:rFonts w:ascii="Times New Roman" w:hAnsi="Times New Roman" w:cs="Times New Roman"/>
          <w:sz w:val="24"/>
          <w:szCs w:val="24"/>
          <w:lang w:val="en-US"/>
        </w:rPr>
        <w:t>recently</w:t>
      </w:r>
      <w:r w:rsidR="00C66A57">
        <w:rPr>
          <w:rFonts w:ascii="Times New Roman" w:hAnsi="Times New Roman" w:cs="Times New Roman"/>
          <w:sz w:val="24"/>
          <w:szCs w:val="24"/>
          <w:lang w:val="en-US"/>
        </w:rPr>
        <w:t>,</w:t>
      </w:r>
      <w:r w:rsidR="00964544" w:rsidRPr="008751F4">
        <w:rPr>
          <w:rFonts w:ascii="Times New Roman" w:hAnsi="Times New Roman" w:cs="Times New Roman"/>
          <w:sz w:val="24"/>
          <w:szCs w:val="24"/>
          <w:lang w:val="en-US"/>
        </w:rPr>
        <w:t xml:space="preserve"> addressing more sophisticated management topics, such as diffusion</w:t>
      </w:r>
      <w:r w:rsidR="00E26450">
        <w:rPr>
          <w:rFonts w:ascii="Times New Roman" w:hAnsi="Times New Roman" w:cs="Times New Roman"/>
          <w:sz w:val="24"/>
          <w:szCs w:val="24"/>
          <w:lang w:val="en-US"/>
        </w:rPr>
        <w:t xml:space="preserve"> </w:t>
      </w:r>
      <w:r w:rsidR="002F0EC7">
        <w:rPr>
          <w:rFonts w:ascii="Times New Roman" w:hAnsi="Times New Roman" w:cs="Times New Roman"/>
          <w:sz w:val="24"/>
          <w:szCs w:val="24"/>
          <w:lang w:val="en-US"/>
        </w:rPr>
        <w:t xml:space="preserve">(Cabecinhas et al., 2018) </w:t>
      </w:r>
      <w:r w:rsidR="00E26450">
        <w:rPr>
          <w:rFonts w:ascii="Times New Roman" w:hAnsi="Times New Roman" w:cs="Times New Roman"/>
          <w:sz w:val="24"/>
          <w:szCs w:val="24"/>
          <w:lang w:val="en-US"/>
        </w:rPr>
        <w:t>and maturity</w:t>
      </w:r>
      <w:r w:rsidR="007642F1">
        <w:rPr>
          <w:rFonts w:ascii="Times New Roman" w:hAnsi="Times New Roman" w:cs="Times New Roman"/>
          <w:sz w:val="24"/>
          <w:szCs w:val="24"/>
          <w:lang w:val="en-US"/>
        </w:rPr>
        <w:t xml:space="preserve"> (Domingues et al., 2016).</w:t>
      </w:r>
      <w:r w:rsidR="002F0EC7">
        <w:rPr>
          <w:rFonts w:ascii="Times New Roman" w:hAnsi="Times New Roman" w:cs="Times New Roman"/>
          <w:sz w:val="24"/>
          <w:szCs w:val="24"/>
          <w:lang w:val="en-US"/>
        </w:rPr>
        <w:t xml:space="preserve"> </w:t>
      </w:r>
      <w:r w:rsidR="00964544" w:rsidRPr="008751F4">
        <w:rPr>
          <w:rFonts w:ascii="Times New Roman" w:hAnsi="Times New Roman" w:cs="Times New Roman"/>
          <w:sz w:val="24"/>
          <w:szCs w:val="24"/>
          <w:lang w:val="en-US"/>
        </w:rPr>
        <w:t xml:space="preserve">In this maturing stage, integration of management systems is </w:t>
      </w:r>
      <w:r w:rsidR="00E26450">
        <w:rPr>
          <w:rFonts w:ascii="Times New Roman" w:hAnsi="Times New Roman" w:cs="Times New Roman"/>
          <w:sz w:val="24"/>
          <w:szCs w:val="24"/>
          <w:lang w:val="en-US"/>
        </w:rPr>
        <w:t>stressed to influence</w:t>
      </w:r>
      <w:r w:rsidR="00964544" w:rsidRPr="008751F4">
        <w:rPr>
          <w:rFonts w:ascii="Times New Roman" w:hAnsi="Times New Roman" w:cs="Times New Roman"/>
          <w:sz w:val="24"/>
          <w:szCs w:val="24"/>
          <w:lang w:val="en-US"/>
        </w:rPr>
        <w:t xml:space="preserve"> corporate sustainability</w:t>
      </w:r>
      <w:r w:rsidR="007642F1" w:rsidRPr="007642F1">
        <w:rPr>
          <w:rFonts w:ascii="Times New Roman" w:hAnsi="Times New Roman" w:cs="Times New Roman"/>
          <w:sz w:val="24"/>
          <w:szCs w:val="24"/>
          <w:lang w:val="en-US"/>
        </w:rPr>
        <w:t xml:space="preserve"> </w:t>
      </w:r>
      <w:r w:rsidR="007642F1">
        <w:rPr>
          <w:rFonts w:ascii="Times New Roman" w:hAnsi="Times New Roman" w:cs="Times New Roman"/>
          <w:sz w:val="24"/>
          <w:szCs w:val="24"/>
          <w:lang w:val="en-US"/>
        </w:rPr>
        <w:t>(Poltronieri et al., 2019)</w:t>
      </w:r>
      <w:r w:rsidR="007642F1" w:rsidRPr="008751F4">
        <w:rPr>
          <w:rFonts w:ascii="Times New Roman" w:hAnsi="Times New Roman" w:cs="Times New Roman"/>
          <w:sz w:val="24"/>
          <w:szCs w:val="24"/>
          <w:lang w:val="en-US"/>
        </w:rPr>
        <w:t>.</w:t>
      </w:r>
      <w:r w:rsidR="00113FDA">
        <w:rPr>
          <w:rFonts w:ascii="Times New Roman" w:hAnsi="Times New Roman" w:cs="Times New Roman"/>
          <w:sz w:val="24"/>
          <w:szCs w:val="24"/>
          <w:lang w:val="en-US"/>
        </w:rPr>
        <w:t xml:space="preserve"> In this theoretical framework integration is addressed by a</w:t>
      </w:r>
      <w:r w:rsidR="00C66A57">
        <w:rPr>
          <w:rFonts w:ascii="Times New Roman" w:hAnsi="Times New Roman" w:cs="Times New Roman"/>
          <w:sz w:val="24"/>
          <w:szCs w:val="24"/>
          <w:lang w:val="en-US"/>
        </w:rPr>
        <w:t xml:space="preserve">dopting </w:t>
      </w:r>
      <w:r w:rsidR="00113FDA">
        <w:rPr>
          <w:rFonts w:ascii="Times New Roman" w:hAnsi="Times New Roman" w:cs="Times New Roman"/>
          <w:sz w:val="24"/>
          <w:szCs w:val="24"/>
          <w:lang w:val="en-US"/>
        </w:rPr>
        <w:t xml:space="preserve">the evolutionary, ‘mature’ </w:t>
      </w:r>
      <w:r w:rsidR="00AE0711">
        <w:rPr>
          <w:rFonts w:ascii="Times New Roman" w:hAnsi="Times New Roman" w:cs="Times New Roman"/>
          <w:sz w:val="24"/>
          <w:szCs w:val="24"/>
          <w:lang w:val="en-US"/>
        </w:rPr>
        <w:t>topic of</w:t>
      </w:r>
      <w:r w:rsidR="00113FDA">
        <w:rPr>
          <w:rFonts w:ascii="Times New Roman" w:hAnsi="Times New Roman" w:cs="Times New Roman"/>
          <w:sz w:val="24"/>
          <w:szCs w:val="24"/>
          <w:lang w:val="en-US"/>
        </w:rPr>
        <w:t xml:space="preserve"> internalization</w:t>
      </w:r>
      <w:r w:rsidR="00AE0711">
        <w:rPr>
          <w:rFonts w:ascii="Times New Roman" w:hAnsi="Times New Roman" w:cs="Times New Roman"/>
          <w:sz w:val="24"/>
          <w:szCs w:val="24"/>
          <w:lang w:val="en-US"/>
        </w:rPr>
        <w:t>, i.e. the degree of pervasiveness and assimilation of management system standard principles and practices by the organizations.</w:t>
      </w:r>
    </w:p>
    <w:p w:rsidR="00C66A57" w:rsidRDefault="0045754B" w:rsidP="00C1414A">
      <w:pPr>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Despite the absence of an international standard dedicated on integrated management systems</w:t>
      </w:r>
      <w:r w:rsidR="005C43D5">
        <w:rPr>
          <w:rFonts w:ascii="Times New Roman" w:hAnsi="Times New Roman" w:cs="Times New Roman"/>
          <w:sz w:val="24"/>
          <w:szCs w:val="24"/>
          <w:lang w:val="en-US"/>
        </w:rPr>
        <w:t>,</w:t>
      </w:r>
      <w:r w:rsidRPr="008751F4">
        <w:rPr>
          <w:rFonts w:ascii="Times New Roman" w:hAnsi="Times New Roman" w:cs="Times New Roman"/>
          <w:sz w:val="24"/>
          <w:szCs w:val="24"/>
          <w:lang w:val="en-US"/>
        </w:rPr>
        <w:t xml:space="preserve"> </w:t>
      </w:r>
      <w:r w:rsidR="00B0705D" w:rsidRPr="008751F4">
        <w:rPr>
          <w:rFonts w:ascii="Times New Roman" w:hAnsi="Times New Roman" w:cs="Times New Roman"/>
          <w:sz w:val="24"/>
          <w:szCs w:val="24"/>
          <w:lang w:val="en-US"/>
        </w:rPr>
        <w:t xml:space="preserve">International Organization for Standardization </w:t>
      </w:r>
      <w:r w:rsidRPr="008751F4">
        <w:rPr>
          <w:rFonts w:ascii="Times New Roman" w:hAnsi="Times New Roman" w:cs="Times New Roman"/>
          <w:sz w:val="24"/>
          <w:szCs w:val="24"/>
          <w:lang w:val="en-US"/>
        </w:rPr>
        <w:t>has</w:t>
      </w:r>
      <w:r w:rsidR="00F15EE3" w:rsidRPr="008751F4">
        <w:rPr>
          <w:rFonts w:ascii="Times New Roman" w:hAnsi="Times New Roman" w:cs="Times New Roman"/>
          <w:sz w:val="24"/>
          <w:szCs w:val="24"/>
          <w:lang w:val="en-US"/>
        </w:rPr>
        <w:t xml:space="preserve"> recently</w:t>
      </w:r>
      <w:r w:rsidRPr="008751F4">
        <w:rPr>
          <w:rFonts w:ascii="Times New Roman" w:hAnsi="Times New Roman" w:cs="Times New Roman"/>
          <w:sz w:val="24"/>
          <w:szCs w:val="24"/>
          <w:lang w:val="en-US"/>
        </w:rPr>
        <w:t xml:space="preserve"> updated its </w:t>
      </w:r>
      <w:r w:rsidR="00F15EE3" w:rsidRPr="008751F4">
        <w:rPr>
          <w:rFonts w:ascii="Times New Roman" w:hAnsi="Times New Roman" w:cs="Times New Roman"/>
          <w:sz w:val="24"/>
          <w:szCs w:val="24"/>
          <w:lang w:val="en-US"/>
        </w:rPr>
        <w:t xml:space="preserve">guide to integrating management system standards </w:t>
      </w:r>
      <w:r w:rsidR="00D15C63" w:rsidRPr="008751F4">
        <w:rPr>
          <w:rFonts w:ascii="Times New Roman" w:hAnsi="Times New Roman" w:cs="Times New Roman"/>
          <w:sz w:val="24"/>
          <w:szCs w:val="24"/>
          <w:lang w:val="en-US"/>
        </w:rPr>
        <w:t xml:space="preserve">(ISO, 2018) </w:t>
      </w:r>
      <w:r w:rsidRPr="008751F4">
        <w:rPr>
          <w:rFonts w:ascii="Times New Roman" w:hAnsi="Times New Roman" w:cs="Times New Roman"/>
          <w:sz w:val="24"/>
          <w:szCs w:val="24"/>
          <w:lang w:val="en-US"/>
        </w:rPr>
        <w:t xml:space="preserve">and </w:t>
      </w:r>
      <w:r w:rsidR="00021CCB" w:rsidRPr="008751F4">
        <w:rPr>
          <w:rFonts w:ascii="Times New Roman" w:hAnsi="Times New Roman" w:cs="Times New Roman"/>
          <w:sz w:val="24"/>
          <w:szCs w:val="24"/>
          <w:lang w:val="en-US"/>
        </w:rPr>
        <w:t xml:space="preserve">is </w:t>
      </w:r>
      <w:r w:rsidR="0009278F">
        <w:rPr>
          <w:rFonts w:ascii="Times New Roman" w:hAnsi="Times New Roman" w:cs="Times New Roman"/>
          <w:sz w:val="24"/>
          <w:szCs w:val="24"/>
          <w:lang w:val="en-US"/>
        </w:rPr>
        <w:t xml:space="preserve">lately </w:t>
      </w:r>
      <w:r w:rsidR="00021CCB" w:rsidRPr="008751F4">
        <w:rPr>
          <w:rFonts w:ascii="Times New Roman" w:hAnsi="Times New Roman" w:cs="Times New Roman"/>
          <w:sz w:val="24"/>
          <w:szCs w:val="24"/>
          <w:lang w:val="en-US"/>
        </w:rPr>
        <w:t>using</w:t>
      </w:r>
      <w:r w:rsidRPr="008751F4">
        <w:rPr>
          <w:rFonts w:ascii="Times New Roman" w:hAnsi="Times New Roman" w:cs="Times New Roman"/>
          <w:sz w:val="24"/>
          <w:szCs w:val="24"/>
          <w:lang w:val="en-US"/>
        </w:rPr>
        <w:t xml:space="preserve"> a common</w:t>
      </w:r>
      <w:r w:rsidR="006610BB" w:rsidRPr="008751F4">
        <w:rPr>
          <w:rFonts w:ascii="Times New Roman" w:hAnsi="Times New Roman" w:cs="Times New Roman"/>
          <w:sz w:val="24"/>
          <w:szCs w:val="24"/>
          <w:lang w:val="en-US"/>
        </w:rPr>
        <w:t xml:space="preserve"> high-level structure</w:t>
      </w:r>
      <w:r w:rsidR="0009278F">
        <w:rPr>
          <w:rFonts w:ascii="Times New Roman" w:hAnsi="Times New Roman" w:cs="Times New Roman"/>
          <w:sz w:val="24"/>
          <w:szCs w:val="24"/>
          <w:lang w:val="en-US"/>
        </w:rPr>
        <w:t xml:space="preserve"> (Will et al., 2019)</w:t>
      </w:r>
      <w:r w:rsidR="006610BB" w:rsidRPr="008751F4">
        <w:rPr>
          <w:rFonts w:ascii="Times New Roman" w:hAnsi="Times New Roman" w:cs="Times New Roman"/>
          <w:sz w:val="24"/>
          <w:szCs w:val="24"/>
          <w:lang w:val="en-US"/>
        </w:rPr>
        <w:t xml:space="preserve"> for all </w:t>
      </w:r>
      <w:r w:rsidR="0009278F">
        <w:rPr>
          <w:rFonts w:ascii="Times New Roman" w:hAnsi="Times New Roman" w:cs="Times New Roman"/>
          <w:sz w:val="24"/>
          <w:szCs w:val="24"/>
          <w:lang w:val="en-US"/>
        </w:rPr>
        <w:t xml:space="preserve">new versions of </w:t>
      </w:r>
      <w:r w:rsidR="006610BB" w:rsidRPr="008751F4">
        <w:rPr>
          <w:rFonts w:ascii="Times New Roman" w:hAnsi="Times New Roman" w:cs="Times New Roman"/>
          <w:sz w:val="24"/>
          <w:szCs w:val="24"/>
          <w:lang w:val="en-US"/>
        </w:rPr>
        <w:t>standards</w:t>
      </w:r>
      <w:r w:rsidR="002F30AF">
        <w:rPr>
          <w:rFonts w:ascii="Times New Roman" w:hAnsi="Times New Roman" w:cs="Times New Roman"/>
          <w:sz w:val="24"/>
          <w:szCs w:val="24"/>
          <w:lang w:val="en-US"/>
        </w:rPr>
        <w:t xml:space="preserve"> </w:t>
      </w:r>
      <w:r w:rsidR="00B0705D" w:rsidRPr="008751F4">
        <w:rPr>
          <w:rFonts w:ascii="Times New Roman" w:hAnsi="Times New Roman" w:cs="Times New Roman"/>
          <w:sz w:val="24"/>
          <w:szCs w:val="24"/>
          <w:lang w:val="en-US"/>
        </w:rPr>
        <w:t xml:space="preserve">enabling and </w:t>
      </w:r>
      <w:r w:rsidR="00FA4298" w:rsidRPr="008751F4">
        <w:rPr>
          <w:rFonts w:ascii="Times New Roman" w:hAnsi="Times New Roman" w:cs="Times New Roman"/>
          <w:sz w:val="24"/>
          <w:szCs w:val="24"/>
          <w:lang w:val="en-US"/>
        </w:rPr>
        <w:t>somehow</w:t>
      </w:r>
      <w:r w:rsidRPr="008751F4">
        <w:rPr>
          <w:rFonts w:ascii="Times New Roman" w:hAnsi="Times New Roman" w:cs="Times New Roman"/>
          <w:sz w:val="24"/>
          <w:szCs w:val="24"/>
          <w:lang w:val="en-US"/>
        </w:rPr>
        <w:t xml:space="preserve"> i</w:t>
      </w:r>
      <w:r w:rsidR="00B0705D" w:rsidRPr="008751F4">
        <w:rPr>
          <w:rFonts w:ascii="Times New Roman" w:hAnsi="Times New Roman" w:cs="Times New Roman"/>
          <w:sz w:val="24"/>
          <w:szCs w:val="24"/>
          <w:lang w:val="en-US"/>
        </w:rPr>
        <w:t>nstitutionalizing</w:t>
      </w:r>
      <w:r w:rsidR="003831BA" w:rsidRPr="008751F4">
        <w:rPr>
          <w:rFonts w:ascii="Times New Roman" w:hAnsi="Times New Roman" w:cs="Times New Roman"/>
          <w:sz w:val="24"/>
          <w:szCs w:val="24"/>
          <w:lang w:val="en-US"/>
        </w:rPr>
        <w:t xml:space="preserve"> integration. In other words, management system experts embrace the notion of integration and they continuously seek for ways to </w:t>
      </w:r>
      <w:r w:rsidR="00E51F84" w:rsidRPr="008751F4">
        <w:rPr>
          <w:rFonts w:ascii="Times New Roman" w:hAnsi="Times New Roman" w:cs="Times New Roman"/>
          <w:sz w:val="24"/>
          <w:szCs w:val="24"/>
          <w:lang w:val="en-US"/>
        </w:rPr>
        <w:t xml:space="preserve">formalize it </w:t>
      </w:r>
      <w:r w:rsidR="003831BA" w:rsidRPr="008751F4">
        <w:rPr>
          <w:rFonts w:ascii="Times New Roman" w:hAnsi="Times New Roman" w:cs="Times New Roman"/>
          <w:sz w:val="24"/>
          <w:szCs w:val="24"/>
          <w:lang w:val="en-US"/>
        </w:rPr>
        <w:t>considering it equally important to the certification of discipline-specific management systems</w:t>
      </w:r>
      <w:r w:rsidR="00E51F84" w:rsidRPr="008751F4">
        <w:rPr>
          <w:rFonts w:ascii="Times New Roman" w:hAnsi="Times New Roman" w:cs="Times New Roman"/>
          <w:sz w:val="24"/>
          <w:szCs w:val="24"/>
          <w:lang w:val="en-US"/>
        </w:rPr>
        <w:t>.</w:t>
      </w:r>
      <w:r w:rsidR="00C66A57" w:rsidRPr="00C66A57">
        <w:rPr>
          <w:rFonts w:ascii="Times New Roman" w:hAnsi="Times New Roman" w:cs="Times New Roman"/>
          <w:sz w:val="24"/>
          <w:szCs w:val="24"/>
          <w:lang w:val="en-US"/>
        </w:rPr>
        <w:t xml:space="preserve"> </w:t>
      </w:r>
      <w:r w:rsidR="00C66A57">
        <w:rPr>
          <w:rFonts w:ascii="Times New Roman" w:hAnsi="Times New Roman" w:cs="Times New Roman"/>
          <w:sz w:val="24"/>
          <w:szCs w:val="24"/>
          <w:lang w:val="en-US"/>
        </w:rPr>
        <w:t>In this context, t</w:t>
      </w:r>
      <w:r w:rsidR="00C66A57" w:rsidRPr="008751F4">
        <w:rPr>
          <w:rFonts w:ascii="Times New Roman" w:hAnsi="Times New Roman" w:cs="Times New Roman"/>
          <w:sz w:val="24"/>
          <w:szCs w:val="24"/>
          <w:lang w:val="en-US"/>
        </w:rPr>
        <w:t xml:space="preserve">he long-lasting debate on the legitimacy of certification versus the actual impact of substantive implementation of </w:t>
      </w:r>
      <w:r w:rsidR="00C66A57">
        <w:rPr>
          <w:rFonts w:ascii="Times New Roman" w:hAnsi="Times New Roman" w:cs="Times New Roman"/>
          <w:sz w:val="24"/>
          <w:szCs w:val="24"/>
          <w:lang w:val="en-US"/>
        </w:rPr>
        <w:t xml:space="preserve">individual </w:t>
      </w:r>
      <w:r w:rsidR="00C66A57" w:rsidRPr="008751F4">
        <w:rPr>
          <w:rFonts w:ascii="Times New Roman" w:hAnsi="Times New Roman" w:cs="Times New Roman"/>
          <w:sz w:val="24"/>
          <w:szCs w:val="24"/>
          <w:lang w:val="en-US"/>
        </w:rPr>
        <w:t>management systems (Escrig-Tena et al., 2019; Testa et al., 2015) cannot be ignored in the case of integrated management systems.</w:t>
      </w:r>
      <w:r w:rsidR="00C66A57">
        <w:rPr>
          <w:rFonts w:ascii="Times New Roman" w:hAnsi="Times New Roman" w:cs="Times New Roman"/>
          <w:sz w:val="24"/>
          <w:szCs w:val="24"/>
          <w:lang w:val="en-US"/>
        </w:rPr>
        <w:t xml:space="preserve"> Similarly to the symbolically</w:t>
      </w:r>
      <w:r w:rsidR="00096FD0" w:rsidRPr="008751F4">
        <w:rPr>
          <w:rFonts w:ascii="Times New Roman" w:hAnsi="Times New Roman" w:cs="Times New Roman"/>
          <w:sz w:val="24"/>
          <w:szCs w:val="24"/>
          <w:lang w:val="en-US"/>
        </w:rPr>
        <w:t xml:space="preserve"> </w:t>
      </w:r>
      <w:r w:rsidR="00C66A57">
        <w:rPr>
          <w:rFonts w:ascii="Times New Roman" w:hAnsi="Times New Roman" w:cs="Times New Roman"/>
          <w:sz w:val="24"/>
          <w:szCs w:val="24"/>
          <w:lang w:val="en-US"/>
        </w:rPr>
        <w:t xml:space="preserve">certified individual management systems, integrated </w:t>
      </w:r>
      <w:r w:rsidR="00C66A57" w:rsidRPr="008751F4">
        <w:rPr>
          <w:rFonts w:ascii="Times New Roman" w:hAnsi="Times New Roman" w:cs="Times New Roman"/>
          <w:sz w:val="24"/>
          <w:szCs w:val="24"/>
          <w:lang w:val="en-US"/>
        </w:rPr>
        <w:t xml:space="preserve">management systems are </w:t>
      </w:r>
      <w:r w:rsidR="00096FD0" w:rsidRPr="008751F4">
        <w:rPr>
          <w:rFonts w:ascii="Times New Roman" w:hAnsi="Times New Roman" w:cs="Times New Roman"/>
          <w:sz w:val="24"/>
          <w:szCs w:val="24"/>
          <w:lang w:val="en-US"/>
        </w:rPr>
        <w:t>often only by name “integrated”</w:t>
      </w:r>
      <w:r w:rsidR="00FF54B8" w:rsidRPr="008751F4">
        <w:rPr>
          <w:rFonts w:ascii="Times New Roman" w:hAnsi="Times New Roman" w:cs="Times New Roman"/>
          <w:sz w:val="24"/>
          <w:szCs w:val="24"/>
          <w:lang w:val="en-US"/>
        </w:rPr>
        <w:t xml:space="preserve"> and are not actually </w:t>
      </w:r>
      <w:r w:rsidR="00096FD0" w:rsidRPr="008751F4">
        <w:rPr>
          <w:rFonts w:ascii="Times New Roman" w:hAnsi="Times New Roman" w:cs="Times New Roman"/>
          <w:sz w:val="24"/>
          <w:szCs w:val="24"/>
          <w:lang w:val="en-US"/>
        </w:rPr>
        <w:t>embedded</w:t>
      </w:r>
      <w:r w:rsidR="00FF54B8" w:rsidRPr="008751F4">
        <w:rPr>
          <w:rFonts w:ascii="Times New Roman" w:hAnsi="Times New Roman" w:cs="Times New Roman"/>
          <w:sz w:val="24"/>
          <w:szCs w:val="24"/>
          <w:lang w:val="en-US"/>
        </w:rPr>
        <w:t xml:space="preserve"> or</w:t>
      </w:r>
      <w:r w:rsidR="00096FD0" w:rsidRPr="008751F4">
        <w:rPr>
          <w:rFonts w:ascii="Times New Roman" w:hAnsi="Times New Roman" w:cs="Times New Roman"/>
          <w:sz w:val="24"/>
          <w:szCs w:val="24"/>
          <w:lang w:val="en-US"/>
        </w:rPr>
        <w:t xml:space="preserve"> intertwined </w:t>
      </w:r>
      <w:r w:rsidR="00FF54B8" w:rsidRPr="008751F4">
        <w:rPr>
          <w:rFonts w:ascii="Times New Roman" w:hAnsi="Times New Roman" w:cs="Times New Roman"/>
          <w:sz w:val="24"/>
          <w:szCs w:val="24"/>
          <w:lang w:val="en-US"/>
        </w:rPr>
        <w:t>with</w:t>
      </w:r>
      <w:r w:rsidR="00096FD0" w:rsidRPr="008751F4">
        <w:rPr>
          <w:rFonts w:ascii="Times New Roman" w:hAnsi="Times New Roman" w:cs="Times New Roman"/>
          <w:sz w:val="24"/>
          <w:szCs w:val="24"/>
          <w:lang w:val="en-US"/>
        </w:rPr>
        <w:t xml:space="preserve">in the functional fabric of business operations. Hence, the </w:t>
      </w:r>
      <w:r w:rsidR="00FF54B8" w:rsidRPr="008751F4">
        <w:rPr>
          <w:rFonts w:ascii="Times New Roman" w:hAnsi="Times New Roman" w:cs="Times New Roman"/>
          <w:sz w:val="24"/>
          <w:szCs w:val="24"/>
          <w:lang w:val="en-US"/>
        </w:rPr>
        <w:t xml:space="preserve">two different perspectives of management systems’ implementation, i.e. the </w:t>
      </w:r>
      <w:r w:rsidR="00C66A57">
        <w:rPr>
          <w:rFonts w:ascii="Times New Roman" w:hAnsi="Times New Roman" w:cs="Times New Roman"/>
          <w:sz w:val="24"/>
          <w:szCs w:val="24"/>
          <w:lang w:val="en-US"/>
        </w:rPr>
        <w:t>‘</w:t>
      </w:r>
      <w:r w:rsidR="00FF54B8" w:rsidRPr="008751F4">
        <w:rPr>
          <w:rFonts w:ascii="Times New Roman" w:hAnsi="Times New Roman" w:cs="Times New Roman"/>
          <w:sz w:val="24"/>
          <w:szCs w:val="24"/>
          <w:lang w:val="en-US"/>
        </w:rPr>
        <w:t>i</w:t>
      </w:r>
      <w:r w:rsidR="008049AB" w:rsidRPr="008751F4">
        <w:rPr>
          <w:rFonts w:ascii="Times New Roman" w:hAnsi="Times New Roman" w:cs="Times New Roman"/>
          <w:sz w:val="24"/>
          <w:szCs w:val="24"/>
          <w:lang w:val="en-US"/>
        </w:rPr>
        <w:t>nsti</w:t>
      </w:r>
      <w:r w:rsidR="00EE240C">
        <w:rPr>
          <w:rFonts w:ascii="Times New Roman" w:hAnsi="Times New Roman" w:cs="Times New Roman"/>
          <w:sz w:val="24"/>
          <w:szCs w:val="24"/>
          <w:lang w:val="en-US"/>
        </w:rPr>
        <w:t>tutionalist</w:t>
      </w:r>
      <w:r w:rsidR="00C66A57">
        <w:rPr>
          <w:rFonts w:ascii="Times New Roman" w:hAnsi="Times New Roman" w:cs="Times New Roman"/>
          <w:sz w:val="24"/>
          <w:szCs w:val="24"/>
          <w:lang w:val="en-US"/>
        </w:rPr>
        <w:t>’</w:t>
      </w:r>
      <w:r w:rsidR="00FF54B8" w:rsidRPr="008751F4">
        <w:rPr>
          <w:rFonts w:ascii="Times New Roman" w:hAnsi="Times New Roman" w:cs="Times New Roman"/>
          <w:sz w:val="24"/>
          <w:szCs w:val="24"/>
          <w:lang w:val="en-US"/>
        </w:rPr>
        <w:t xml:space="preserve"> and the </w:t>
      </w:r>
      <w:r w:rsidR="00C66A57">
        <w:rPr>
          <w:rFonts w:ascii="Times New Roman" w:hAnsi="Times New Roman" w:cs="Times New Roman"/>
          <w:sz w:val="24"/>
          <w:szCs w:val="24"/>
          <w:lang w:val="en-US"/>
        </w:rPr>
        <w:t>‘</w:t>
      </w:r>
      <w:r w:rsidR="00FF54B8" w:rsidRPr="008751F4">
        <w:rPr>
          <w:rFonts w:ascii="Times New Roman" w:hAnsi="Times New Roman" w:cs="Times New Roman"/>
          <w:sz w:val="24"/>
          <w:szCs w:val="24"/>
          <w:lang w:val="en-US"/>
        </w:rPr>
        <w:t>functionali</w:t>
      </w:r>
      <w:r w:rsidR="00EE240C">
        <w:rPr>
          <w:rFonts w:ascii="Times New Roman" w:hAnsi="Times New Roman" w:cs="Times New Roman"/>
          <w:sz w:val="24"/>
          <w:szCs w:val="24"/>
          <w:lang w:val="en-US"/>
        </w:rPr>
        <w:t>st</w:t>
      </w:r>
      <w:r w:rsidR="00C66A57">
        <w:rPr>
          <w:rFonts w:ascii="Times New Roman" w:hAnsi="Times New Roman" w:cs="Times New Roman"/>
          <w:sz w:val="24"/>
          <w:szCs w:val="24"/>
          <w:lang w:val="en-US"/>
        </w:rPr>
        <w:t>’</w:t>
      </w:r>
      <w:r w:rsidR="005C43D5">
        <w:rPr>
          <w:rFonts w:ascii="Times New Roman" w:hAnsi="Times New Roman" w:cs="Times New Roman"/>
          <w:sz w:val="24"/>
          <w:szCs w:val="24"/>
          <w:lang w:val="en-US"/>
        </w:rPr>
        <w:t xml:space="preserve"> (</w:t>
      </w:r>
      <w:r w:rsidR="005C43D5" w:rsidRPr="00496F78">
        <w:rPr>
          <w:rFonts w:ascii="Times New Roman" w:hAnsi="Times New Roman" w:cs="Times New Roman"/>
          <w:sz w:val="24"/>
          <w:szCs w:val="24"/>
          <w:lang w:val="en-US"/>
        </w:rPr>
        <w:t>Escrig-Tena</w:t>
      </w:r>
      <w:r w:rsidR="005C43D5">
        <w:rPr>
          <w:rFonts w:ascii="Times New Roman" w:hAnsi="Times New Roman" w:cs="Times New Roman"/>
          <w:sz w:val="24"/>
          <w:szCs w:val="24"/>
          <w:lang w:val="en-US"/>
        </w:rPr>
        <w:t xml:space="preserve"> et al., 2109</w:t>
      </w:r>
      <w:r w:rsidR="00834E38">
        <w:rPr>
          <w:rFonts w:ascii="Times New Roman" w:hAnsi="Times New Roman" w:cs="Times New Roman"/>
          <w:sz w:val="24"/>
          <w:szCs w:val="24"/>
          <w:lang w:val="en-US"/>
        </w:rPr>
        <w:t>; Nair and</w:t>
      </w:r>
      <w:r w:rsidR="00D55A91">
        <w:rPr>
          <w:rFonts w:ascii="Times New Roman" w:hAnsi="Times New Roman" w:cs="Times New Roman"/>
          <w:sz w:val="24"/>
          <w:szCs w:val="24"/>
          <w:lang w:val="en-US"/>
        </w:rPr>
        <w:t xml:space="preserve"> Prajogo, 2009</w:t>
      </w:r>
      <w:r w:rsidR="005C43D5">
        <w:rPr>
          <w:rFonts w:ascii="Times New Roman" w:hAnsi="Times New Roman" w:cs="Times New Roman"/>
          <w:sz w:val="24"/>
          <w:szCs w:val="24"/>
          <w:lang w:val="en-US"/>
        </w:rPr>
        <w:t>)</w:t>
      </w:r>
      <w:r w:rsidR="00FF54B8" w:rsidRPr="008751F4">
        <w:rPr>
          <w:rFonts w:ascii="Times New Roman" w:hAnsi="Times New Roman" w:cs="Times New Roman"/>
          <w:sz w:val="24"/>
          <w:szCs w:val="24"/>
          <w:lang w:val="en-US"/>
        </w:rPr>
        <w:t>, apply in the case</w:t>
      </w:r>
      <w:r w:rsidR="008049AB" w:rsidRPr="008751F4">
        <w:rPr>
          <w:rFonts w:ascii="Times New Roman" w:hAnsi="Times New Roman" w:cs="Times New Roman"/>
          <w:sz w:val="24"/>
          <w:szCs w:val="24"/>
          <w:lang w:val="en-US"/>
        </w:rPr>
        <w:t xml:space="preserve"> of integrated management systems</w:t>
      </w:r>
      <w:r w:rsidR="00FF54B8" w:rsidRPr="008751F4">
        <w:rPr>
          <w:rFonts w:ascii="Times New Roman" w:hAnsi="Times New Roman" w:cs="Times New Roman"/>
          <w:sz w:val="24"/>
          <w:szCs w:val="24"/>
          <w:lang w:val="en-US"/>
        </w:rPr>
        <w:t>, as well.</w:t>
      </w:r>
      <w:r w:rsidR="007E0D2F" w:rsidRPr="008751F4">
        <w:rPr>
          <w:rFonts w:ascii="Times New Roman" w:hAnsi="Times New Roman" w:cs="Times New Roman"/>
          <w:sz w:val="24"/>
          <w:szCs w:val="24"/>
          <w:lang w:val="en-US"/>
        </w:rPr>
        <w:t xml:space="preserve"> In this context, the purpose of this research is to delve into the particular IMS aspects that may distinguish the substantive (internalized) from the superficial</w:t>
      </w:r>
      <w:r w:rsidR="005C43D5">
        <w:rPr>
          <w:rFonts w:ascii="Times New Roman" w:hAnsi="Times New Roman" w:cs="Times New Roman"/>
          <w:sz w:val="24"/>
          <w:szCs w:val="24"/>
          <w:lang w:val="en-US"/>
        </w:rPr>
        <w:t xml:space="preserve"> (ceremonial)</w:t>
      </w:r>
      <w:r w:rsidR="007E0D2F" w:rsidRPr="008751F4">
        <w:rPr>
          <w:rFonts w:ascii="Times New Roman" w:hAnsi="Times New Roman" w:cs="Times New Roman"/>
          <w:sz w:val="24"/>
          <w:szCs w:val="24"/>
          <w:lang w:val="en-US"/>
        </w:rPr>
        <w:t xml:space="preserve"> integration by measuring the level achieved and the resources used when integrating. </w:t>
      </w:r>
      <w:r w:rsidR="00E26450" w:rsidRPr="008751F4">
        <w:rPr>
          <w:rFonts w:ascii="Times New Roman" w:hAnsi="Times New Roman" w:cs="Times New Roman"/>
          <w:sz w:val="24"/>
          <w:szCs w:val="24"/>
          <w:lang w:val="en-US"/>
        </w:rPr>
        <w:t xml:space="preserve">Following this line of thought, this research aims to </w:t>
      </w:r>
      <w:r w:rsidR="00E26450">
        <w:rPr>
          <w:rFonts w:ascii="Times New Roman" w:hAnsi="Times New Roman" w:cs="Times New Roman"/>
          <w:sz w:val="24"/>
          <w:szCs w:val="24"/>
          <w:lang w:val="en-US"/>
        </w:rPr>
        <w:t>operationalize the</w:t>
      </w:r>
      <w:r w:rsidR="00E26450" w:rsidRPr="008751F4">
        <w:rPr>
          <w:rFonts w:ascii="Times New Roman" w:hAnsi="Times New Roman" w:cs="Times New Roman"/>
          <w:sz w:val="24"/>
          <w:szCs w:val="24"/>
          <w:lang w:val="en-US"/>
        </w:rPr>
        <w:t xml:space="preserve"> internalization </w:t>
      </w:r>
      <w:r w:rsidR="00E26450">
        <w:rPr>
          <w:rFonts w:ascii="Times New Roman" w:hAnsi="Times New Roman" w:cs="Times New Roman"/>
          <w:sz w:val="24"/>
          <w:szCs w:val="24"/>
          <w:lang w:val="en-US"/>
        </w:rPr>
        <w:t xml:space="preserve">of integrated management systems </w:t>
      </w:r>
      <w:r w:rsidR="00E26450" w:rsidRPr="008751F4">
        <w:rPr>
          <w:rFonts w:ascii="Times New Roman" w:hAnsi="Times New Roman" w:cs="Times New Roman"/>
          <w:sz w:val="24"/>
          <w:szCs w:val="24"/>
          <w:lang w:val="en-US"/>
        </w:rPr>
        <w:t>and corporate sustainability performance.</w:t>
      </w:r>
    </w:p>
    <w:p w:rsidR="0004385A" w:rsidRDefault="0004385A" w:rsidP="00C1414A">
      <w:pPr>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 xml:space="preserve">The remainder of this manuscript is structured as follows. </w:t>
      </w:r>
      <w:r>
        <w:rPr>
          <w:rFonts w:ascii="Times New Roman" w:hAnsi="Times New Roman" w:cs="Times New Roman"/>
          <w:sz w:val="24"/>
          <w:szCs w:val="24"/>
          <w:lang w:val="en-US"/>
        </w:rPr>
        <w:t>Literature on internalization</w:t>
      </w:r>
      <w:r w:rsidRPr="008751F4">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corporate sustainability performance </w:t>
      </w:r>
      <w:r w:rsidRPr="008751F4">
        <w:rPr>
          <w:rFonts w:ascii="Times New Roman" w:hAnsi="Times New Roman" w:cs="Times New Roman"/>
          <w:sz w:val="24"/>
          <w:szCs w:val="24"/>
          <w:lang w:val="en-US"/>
        </w:rPr>
        <w:t xml:space="preserve">is reviewed in the following section. Next, research method is described. The empirical results are summarized in the fourth section. Finally, </w:t>
      </w:r>
      <w:r>
        <w:rPr>
          <w:rFonts w:ascii="Times New Roman" w:hAnsi="Times New Roman" w:cs="Times New Roman"/>
          <w:sz w:val="24"/>
          <w:szCs w:val="24"/>
          <w:lang w:val="en-US"/>
        </w:rPr>
        <w:t xml:space="preserve">the findings are discussed and </w:t>
      </w:r>
      <w:r w:rsidRPr="008751F4">
        <w:rPr>
          <w:rFonts w:ascii="Times New Roman" w:hAnsi="Times New Roman" w:cs="Times New Roman"/>
          <w:sz w:val="24"/>
          <w:szCs w:val="24"/>
          <w:lang w:val="en-US"/>
        </w:rPr>
        <w:t>conclusions are drawn.</w:t>
      </w:r>
    </w:p>
    <w:p w:rsidR="00C1414A" w:rsidRPr="008751F4" w:rsidRDefault="00C1414A" w:rsidP="00C1414A">
      <w:pPr>
        <w:ind w:firstLine="288"/>
        <w:jc w:val="both"/>
        <w:rPr>
          <w:rFonts w:ascii="Times New Roman" w:hAnsi="Times New Roman" w:cs="Times New Roman"/>
          <w:sz w:val="24"/>
          <w:szCs w:val="24"/>
          <w:lang w:val="en-US"/>
        </w:rPr>
      </w:pPr>
    </w:p>
    <w:p w:rsidR="0004385A" w:rsidRDefault="0004385A" w:rsidP="00C1414A">
      <w:pPr>
        <w:pStyle w:val="Paragraphedeliste"/>
        <w:numPr>
          <w:ilvl w:val="0"/>
          <w:numId w:val="1"/>
        </w:numPr>
        <w:spacing w:after="0" w:line="240" w:lineRule="auto"/>
        <w:ind w:left="274" w:hanging="274"/>
        <w:contextualSpacing w:val="0"/>
        <w:jc w:val="both"/>
        <w:rPr>
          <w:rFonts w:ascii="Times New Roman" w:hAnsi="Times New Roman"/>
          <w:b/>
          <w:sz w:val="24"/>
          <w:szCs w:val="24"/>
          <w:lang w:val="en-US"/>
        </w:rPr>
      </w:pPr>
      <w:r>
        <w:rPr>
          <w:rFonts w:ascii="Times New Roman" w:hAnsi="Times New Roman"/>
          <w:b/>
          <w:sz w:val="24"/>
          <w:szCs w:val="24"/>
          <w:lang w:val="en-US"/>
        </w:rPr>
        <w:t>Literature review</w:t>
      </w:r>
    </w:p>
    <w:p w:rsidR="00C1414A" w:rsidRPr="0004385A" w:rsidRDefault="00C1414A" w:rsidP="00C1414A">
      <w:pPr>
        <w:pStyle w:val="Paragraphedeliste"/>
        <w:spacing w:after="0" w:line="240" w:lineRule="auto"/>
        <w:ind w:left="274"/>
        <w:contextualSpacing w:val="0"/>
        <w:jc w:val="both"/>
        <w:rPr>
          <w:rFonts w:ascii="Times New Roman" w:hAnsi="Times New Roman"/>
          <w:b/>
          <w:sz w:val="24"/>
          <w:szCs w:val="24"/>
          <w:lang w:val="en-US"/>
        </w:rPr>
      </w:pPr>
    </w:p>
    <w:p w:rsidR="00864CD8" w:rsidRPr="008751F4" w:rsidRDefault="00864CD8" w:rsidP="00C1414A">
      <w:pPr>
        <w:rPr>
          <w:rFonts w:ascii="Times New Roman" w:hAnsi="Times New Roman" w:cs="Times New Roman"/>
          <w:i/>
          <w:sz w:val="24"/>
          <w:szCs w:val="24"/>
          <w:lang w:val="en-US"/>
        </w:rPr>
      </w:pPr>
      <w:r w:rsidRPr="008751F4">
        <w:rPr>
          <w:rFonts w:ascii="Times New Roman" w:hAnsi="Times New Roman" w:cs="Times New Roman"/>
          <w:i/>
          <w:sz w:val="24"/>
          <w:szCs w:val="24"/>
          <w:lang w:val="en-US"/>
        </w:rPr>
        <w:t>Internalization</w:t>
      </w:r>
    </w:p>
    <w:p w:rsidR="00E13B93" w:rsidRPr="008751F4" w:rsidRDefault="008A00ED" w:rsidP="00C1414A">
      <w:pPr>
        <w:tabs>
          <w:tab w:val="left" w:pos="2880"/>
        </w:tabs>
        <w:autoSpaceDE w:val="0"/>
        <w:autoSpaceDN w:val="0"/>
        <w:adjustRightInd w:val="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I</w:t>
      </w:r>
      <w:r w:rsidR="009B3918" w:rsidRPr="008751F4">
        <w:rPr>
          <w:rFonts w:ascii="Times New Roman" w:hAnsi="Times New Roman" w:cs="Times New Roman"/>
          <w:sz w:val="24"/>
          <w:szCs w:val="24"/>
          <w:lang w:val="en-US"/>
        </w:rPr>
        <w:t xml:space="preserve">nternalization can be defined as the substantial rather than superficial integration of specific practices and principles </w:t>
      </w:r>
      <w:r w:rsidR="00D05ADE" w:rsidRPr="008751F4">
        <w:rPr>
          <w:rFonts w:ascii="Times New Roman" w:hAnsi="Times New Roman" w:cs="Times New Roman"/>
          <w:sz w:val="24"/>
          <w:szCs w:val="24"/>
          <w:lang w:val="en-US"/>
        </w:rPr>
        <w:t>as stated in management system standards</w:t>
      </w:r>
      <w:r w:rsidR="009B3918" w:rsidRPr="008751F4">
        <w:rPr>
          <w:rFonts w:ascii="Times New Roman" w:hAnsi="Times New Roman" w:cs="Times New Roman"/>
          <w:sz w:val="24"/>
          <w:szCs w:val="24"/>
          <w:lang w:val="en-US"/>
        </w:rPr>
        <w:t xml:space="preserve"> </w:t>
      </w:r>
      <w:r w:rsidR="00D05ADE" w:rsidRPr="008751F4">
        <w:rPr>
          <w:rFonts w:ascii="Times New Roman" w:hAnsi="Times New Roman" w:cs="Times New Roman"/>
          <w:sz w:val="24"/>
          <w:szCs w:val="24"/>
          <w:lang w:val="en-US"/>
        </w:rPr>
        <w:t>with</w:t>
      </w:r>
      <w:r w:rsidR="009B3918" w:rsidRPr="008751F4">
        <w:rPr>
          <w:rFonts w:ascii="Times New Roman" w:hAnsi="Times New Roman" w:cs="Times New Roman"/>
          <w:sz w:val="24"/>
          <w:szCs w:val="24"/>
          <w:lang w:val="en-US"/>
        </w:rPr>
        <w:t>in o</w:t>
      </w:r>
      <w:r w:rsidR="00D05ADE" w:rsidRPr="008751F4">
        <w:rPr>
          <w:rFonts w:ascii="Times New Roman" w:hAnsi="Times New Roman" w:cs="Times New Roman"/>
          <w:sz w:val="24"/>
          <w:szCs w:val="24"/>
          <w:lang w:val="en-US"/>
        </w:rPr>
        <w:t xml:space="preserve">rganizations’ daily activities </w:t>
      </w:r>
      <w:r w:rsidR="001548E8" w:rsidRPr="008751F4">
        <w:rPr>
          <w:rFonts w:ascii="Times New Roman" w:hAnsi="Times New Roman" w:cs="Times New Roman"/>
          <w:sz w:val="24"/>
          <w:szCs w:val="24"/>
          <w:lang w:val="en-US"/>
        </w:rPr>
        <w:t>(</w:t>
      </w:r>
      <w:r w:rsidR="009B3918" w:rsidRPr="008751F4">
        <w:rPr>
          <w:rFonts w:ascii="Times New Roman" w:hAnsi="Times New Roman" w:cs="Times New Roman"/>
          <w:sz w:val="24"/>
          <w:szCs w:val="24"/>
          <w:lang w:val="en-US"/>
        </w:rPr>
        <w:t xml:space="preserve">Testa et al., </w:t>
      </w:r>
      <w:r w:rsidR="001548E8" w:rsidRPr="008751F4">
        <w:rPr>
          <w:rFonts w:ascii="Times New Roman" w:hAnsi="Times New Roman" w:cs="Times New Roman"/>
          <w:sz w:val="24"/>
          <w:szCs w:val="24"/>
          <w:lang w:val="en-US"/>
        </w:rPr>
        <w:t>2018</w:t>
      </w:r>
      <w:r w:rsidR="000E4B6D" w:rsidRPr="008751F4">
        <w:rPr>
          <w:rFonts w:ascii="Times New Roman" w:hAnsi="Times New Roman" w:cs="Times New Roman"/>
          <w:sz w:val="24"/>
          <w:szCs w:val="24"/>
          <w:lang w:val="en-US"/>
        </w:rPr>
        <w:t>a</w:t>
      </w:r>
      <w:r w:rsidR="001548E8" w:rsidRPr="008751F4">
        <w:rPr>
          <w:rFonts w:ascii="Times New Roman" w:hAnsi="Times New Roman" w:cs="Times New Roman"/>
          <w:sz w:val="24"/>
          <w:szCs w:val="24"/>
          <w:lang w:val="en-US"/>
        </w:rPr>
        <w:t>)</w:t>
      </w:r>
      <w:r w:rsidRPr="008751F4">
        <w:rPr>
          <w:rFonts w:ascii="Times New Roman" w:hAnsi="Times New Roman" w:cs="Times New Roman"/>
          <w:sz w:val="24"/>
          <w:szCs w:val="24"/>
          <w:lang w:val="en-US"/>
        </w:rPr>
        <w:t xml:space="preserve">. </w:t>
      </w:r>
      <w:r w:rsidR="001548E8" w:rsidRPr="008751F4">
        <w:rPr>
          <w:rFonts w:ascii="Times New Roman" w:hAnsi="Times New Roman" w:cs="Times New Roman"/>
          <w:sz w:val="24"/>
          <w:szCs w:val="24"/>
          <w:lang w:val="en-US"/>
        </w:rPr>
        <w:t xml:space="preserve">Internalization is considered as </w:t>
      </w:r>
      <w:r w:rsidRPr="008751F4">
        <w:rPr>
          <w:rFonts w:ascii="Times New Roman" w:hAnsi="Times New Roman" w:cs="Times New Roman"/>
          <w:sz w:val="24"/>
          <w:szCs w:val="24"/>
          <w:lang w:val="en-US"/>
        </w:rPr>
        <w:t>the means</w:t>
      </w:r>
      <w:r w:rsidR="001548E8" w:rsidRPr="008751F4">
        <w:rPr>
          <w:rFonts w:ascii="Times New Roman" w:hAnsi="Times New Roman" w:cs="Times New Roman"/>
          <w:sz w:val="24"/>
          <w:szCs w:val="24"/>
          <w:lang w:val="en-US"/>
        </w:rPr>
        <w:t xml:space="preserve"> against</w:t>
      </w:r>
      <w:r w:rsidR="00D05ADE" w:rsidRPr="008751F4">
        <w:rPr>
          <w:rFonts w:ascii="Times New Roman" w:hAnsi="Times New Roman" w:cs="Times New Roman"/>
          <w:sz w:val="24"/>
          <w:szCs w:val="24"/>
          <w:lang w:val="en-US"/>
        </w:rPr>
        <w:t xml:space="preserve"> ‘symbolic’ (superficial) implementation of management systems (MS), e.g. against</w:t>
      </w:r>
      <w:r w:rsidR="001548E8" w:rsidRPr="008751F4">
        <w:rPr>
          <w:rFonts w:ascii="Times New Roman" w:hAnsi="Times New Roman" w:cs="Times New Roman"/>
          <w:sz w:val="24"/>
          <w:szCs w:val="24"/>
          <w:lang w:val="en-US"/>
        </w:rPr>
        <w:t xml:space="preserve"> </w:t>
      </w:r>
      <w:r w:rsidR="00D05ADE" w:rsidRPr="008751F4">
        <w:rPr>
          <w:rFonts w:ascii="Times New Roman" w:hAnsi="Times New Roman" w:cs="Times New Roman"/>
          <w:sz w:val="24"/>
          <w:szCs w:val="24"/>
          <w:lang w:val="en-US"/>
        </w:rPr>
        <w:lastRenderedPageBreak/>
        <w:t>mere certification or even ‘</w:t>
      </w:r>
      <w:r w:rsidR="001548E8" w:rsidRPr="008751F4">
        <w:rPr>
          <w:rFonts w:ascii="Times New Roman" w:hAnsi="Times New Roman" w:cs="Times New Roman"/>
          <w:sz w:val="24"/>
          <w:szCs w:val="24"/>
          <w:lang w:val="en-US"/>
        </w:rPr>
        <w:t>greenwashing</w:t>
      </w:r>
      <w:r w:rsidR="00D05ADE" w:rsidRPr="008751F4">
        <w:rPr>
          <w:rFonts w:ascii="Times New Roman" w:hAnsi="Times New Roman" w:cs="Times New Roman"/>
          <w:sz w:val="24"/>
          <w:szCs w:val="24"/>
          <w:lang w:val="en-US"/>
        </w:rPr>
        <w:t>’</w:t>
      </w:r>
      <w:r w:rsidR="001548E8" w:rsidRPr="008751F4">
        <w:rPr>
          <w:rFonts w:ascii="Times New Roman" w:hAnsi="Times New Roman" w:cs="Times New Roman"/>
          <w:sz w:val="24"/>
          <w:szCs w:val="24"/>
          <w:lang w:val="en-US"/>
        </w:rPr>
        <w:t xml:space="preserve"> </w:t>
      </w:r>
      <w:r w:rsidR="00D05ADE" w:rsidRPr="008751F4">
        <w:rPr>
          <w:rFonts w:ascii="Times New Roman" w:hAnsi="Times New Roman" w:cs="Times New Roman"/>
          <w:sz w:val="24"/>
          <w:szCs w:val="24"/>
          <w:lang w:val="en-US"/>
        </w:rPr>
        <w:t>in the case of environmental management systems</w:t>
      </w:r>
      <w:r w:rsidRPr="008751F4">
        <w:rPr>
          <w:rFonts w:ascii="Times New Roman" w:hAnsi="Times New Roman" w:cs="Times New Roman"/>
          <w:sz w:val="24"/>
          <w:szCs w:val="24"/>
          <w:lang w:val="en-US"/>
        </w:rPr>
        <w:t xml:space="preserve"> (Testa et al., 2018</w:t>
      </w:r>
      <w:r w:rsidR="000E4B6D" w:rsidRPr="008751F4">
        <w:rPr>
          <w:rFonts w:ascii="Times New Roman" w:hAnsi="Times New Roman" w:cs="Times New Roman"/>
          <w:sz w:val="24"/>
          <w:szCs w:val="24"/>
          <w:lang w:val="en-US"/>
        </w:rPr>
        <w:t>a</w:t>
      </w:r>
      <w:r w:rsidRPr="008751F4">
        <w:rPr>
          <w:rFonts w:ascii="Times New Roman" w:hAnsi="Times New Roman" w:cs="Times New Roman"/>
          <w:sz w:val="24"/>
          <w:szCs w:val="24"/>
          <w:lang w:val="en-US"/>
        </w:rPr>
        <w:t>)</w:t>
      </w:r>
      <w:r w:rsidR="00C85437">
        <w:rPr>
          <w:rFonts w:ascii="Times New Roman" w:hAnsi="Times New Roman" w:cs="Times New Roman"/>
          <w:sz w:val="24"/>
          <w:szCs w:val="24"/>
          <w:lang w:val="en-US"/>
        </w:rPr>
        <w:t xml:space="preserve"> and</w:t>
      </w:r>
      <w:r w:rsidR="00437400">
        <w:rPr>
          <w:rFonts w:ascii="Times New Roman" w:hAnsi="Times New Roman" w:cs="Times New Roman"/>
          <w:sz w:val="24"/>
          <w:szCs w:val="24"/>
          <w:lang w:val="en-US"/>
        </w:rPr>
        <w:t xml:space="preserve"> ‘bluewashing’ in the case of corpor</w:t>
      </w:r>
      <w:r w:rsidR="00C85437">
        <w:rPr>
          <w:rFonts w:ascii="Times New Roman" w:hAnsi="Times New Roman" w:cs="Times New Roman"/>
          <w:sz w:val="24"/>
          <w:szCs w:val="24"/>
          <w:lang w:val="en-US"/>
        </w:rPr>
        <w:t>ate social responsibility practices (Testa et al. 2018b; Will et al., 2019)</w:t>
      </w:r>
      <w:r w:rsidR="00D05ADE" w:rsidRPr="008751F4">
        <w:rPr>
          <w:rFonts w:ascii="Times New Roman" w:hAnsi="Times New Roman" w:cs="Times New Roman"/>
          <w:sz w:val="24"/>
          <w:szCs w:val="24"/>
          <w:lang w:val="en-US"/>
        </w:rPr>
        <w:t xml:space="preserve">. External institutional pressures usually drive organizations to certify just to ‘exhibit’ compliance. However, when MS standards are intertwined within corporate strategy and enterprises allocate </w:t>
      </w:r>
      <w:r w:rsidR="00D05ADE" w:rsidRPr="008751F4">
        <w:rPr>
          <w:rFonts w:ascii="Times New Roman" w:hAnsi="Times New Roman" w:cs="Times New Roman"/>
          <w:b/>
          <w:i/>
          <w:sz w:val="24"/>
          <w:szCs w:val="24"/>
          <w:lang w:val="en-US"/>
        </w:rPr>
        <w:t>resources</w:t>
      </w:r>
      <w:r w:rsidR="00D05ADE" w:rsidRPr="008751F4">
        <w:rPr>
          <w:rFonts w:ascii="Times New Roman" w:hAnsi="Times New Roman" w:cs="Times New Roman"/>
          <w:sz w:val="24"/>
          <w:szCs w:val="24"/>
          <w:lang w:val="en-US"/>
        </w:rPr>
        <w:t xml:space="preserve"> </w:t>
      </w:r>
      <w:r w:rsidR="00031A9E" w:rsidRPr="008751F4">
        <w:rPr>
          <w:rFonts w:ascii="Times New Roman" w:hAnsi="Times New Roman" w:cs="Times New Roman"/>
          <w:sz w:val="24"/>
          <w:szCs w:val="24"/>
          <w:lang w:val="en-US"/>
        </w:rPr>
        <w:t>and absorb knowledge</w:t>
      </w:r>
      <w:r w:rsidR="000E4B6D" w:rsidRPr="008751F4">
        <w:rPr>
          <w:rFonts w:ascii="Times New Roman" w:hAnsi="Times New Roman" w:cs="Times New Roman"/>
          <w:sz w:val="24"/>
          <w:szCs w:val="24"/>
          <w:lang w:val="en-US"/>
        </w:rPr>
        <w:t xml:space="preserve"> -</w:t>
      </w:r>
      <w:r w:rsidR="00031A9E" w:rsidRPr="008751F4">
        <w:rPr>
          <w:rFonts w:ascii="Times New Roman" w:hAnsi="Times New Roman" w:cs="Times New Roman"/>
          <w:sz w:val="24"/>
          <w:szCs w:val="24"/>
          <w:lang w:val="en-US"/>
        </w:rPr>
        <w:t xml:space="preserve"> both tacit and explicit</w:t>
      </w:r>
      <w:r w:rsidR="000E4B6D" w:rsidRPr="008751F4">
        <w:rPr>
          <w:rFonts w:ascii="Times New Roman" w:hAnsi="Times New Roman" w:cs="Times New Roman"/>
          <w:sz w:val="24"/>
          <w:szCs w:val="24"/>
          <w:lang w:val="en-US"/>
        </w:rPr>
        <w:t xml:space="preserve"> -</w:t>
      </w:r>
      <w:r w:rsidR="00031A9E" w:rsidRPr="008751F4">
        <w:rPr>
          <w:rFonts w:ascii="Times New Roman" w:hAnsi="Times New Roman" w:cs="Times New Roman"/>
          <w:sz w:val="24"/>
          <w:szCs w:val="24"/>
          <w:lang w:val="en-US"/>
        </w:rPr>
        <w:t xml:space="preserve"> </w:t>
      </w:r>
      <w:r w:rsidR="00D05ADE" w:rsidRPr="008751F4">
        <w:rPr>
          <w:rFonts w:ascii="Times New Roman" w:hAnsi="Times New Roman" w:cs="Times New Roman"/>
          <w:sz w:val="24"/>
          <w:szCs w:val="24"/>
          <w:lang w:val="en-US"/>
        </w:rPr>
        <w:t xml:space="preserve">to </w:t>
      </w:r>
      <w:r w:rsidRPr="008751F4">
        <w:rPr>
          <w:rFonts w:ascii="Times New Roman" w:hAnsi="Times New Roman" w:cs="Times New Roman"/>
          <w:sz w:val="24"/>
          <w:szCs w:val="24"/>
          <w:lang w:val="en-US"/>
        </w:rPr>
        <w:t>actually comply</w:t>
      </w:r>
      <w:r w:rsidR="00031A9E" w:rsidRPr="008751F4">
        <w:rPr>
          <w:rFonts w:ascii="Times New Roman" w:hAnsi="Times New Roman" w:cs="Times New Roman"/>
          <w:sz w:val="24"/>
          <w:szCs w:val="24"/>
          <w:lang w:val="en-US"/>
        </w:rPr>
        <w:t xml:space="preserve"> by the standards</w:t>
      </w:r>
      <w:r w:rsidRPr="008751F4">
        <w:rPr>
          <w:rFonts w:ascii="Times New Roman" w:hAnsi="Times New Roman" w:cs="Times New Roman"/>
          <w:sz w:val="24"/>
          <w:szCs w:val="24"/>
          <w:lang w:val="en-US"/>
        </w:rPr>
        <w:t xml:space="preserve"> expecting </w:t>
      </w:r>
      <w:r w:rsidR="00257094" w:rsidRPr="008751F4">
        <w:rPr>
          <w:rFonts w:ascii="Times New Roman" w:hAnsi="Times New Roman" w:cs="Times New Roman"/>
          <w:sz w:val="24"/>
          <w:szCs w:val="24"/>
          <w:lang w:val="en-US"/>
        </w:rPr>
        <w:t xml:space="preserve">to </w:t>
      </w:r>
      <w:r w:rsidRPr="008751F4">
        <w:rPr>
          <w:rFonts w:ascii="Times New Roman" w:hAnsi="Times New Roman" w:cs="Times New Roman"/>
          <w:sz w:val="24"/>
          <w:szCs w:val="24"/>
          <w:lang w:val="en-US"/>
        </w:rPr>
        <w:t xml:space="preserve">benefit from this compliance, </w:t>
      </w:r>
      <w:r w:rsidR="00031A9E" w:rsidRPr="008751F4">
        <w:rPr>
          <w:rFonts w:ascii="Times New Roman" w:hAnsi="Times New Roman" w:cs="Times New Roman"/>
          <w:sz w:val="24"/>
          <w:szCs w:val="24"/>
          <w:lang w:val="en-US"/>
        </w:rPr>
        <w:t xml:space="preserve">then </w:t>
      </w:r>
      <w:r w:rsidRPr="008751F4">
        <w:rPr>
          <w:rFonts w:ascii="Times New Roman" w:hAnsi="Times New Roman" w:cs="Times New Roman"/>
          <w:sz w:val="24"/>
          <w:szCs w:val="24"/>
          <w:lang w:val="en-US"/>
        </w:rPr>
        <w:t xml:space="preserve">the principles and guidelines </w:t>
      </w:r>
      <w:r w:rsidR="00257094" w:rsidRPr="008751F4">
        <w:rPr>
          <w:rFonts w:ascii="Times New Roman" w:hAnsi="Times New Roman" w:cs="Times New Roman"/>
          <w:sz w:val="24"/>
          <w:szCs w:val="24"/>
          <w:lang w:val="en-US"/>
        </w:rPr>
        <w:t xml:space="preserve">of those standards </w:t>
      </w:r>
      <w:r w:rsidRPr="008751F4">
        <w:rPr>
          <w:rFonts w:ascii="Times New Roman" w:hAnsi="Times New Roman" w:cs="Times New Roman"/>
          <w:sz w:val="24"/>
          <w:szCs w:val="24"/>
          <w:lang w:val="en-US"/>
        </w:rPr>
        <w:t>motivate a</w:t>
      </w:r>
      <w:r w:rsidR="00421EEC">
        <w:rPr>
          <w:rFonts w:ascii="Times New Roman" w:hAnsi="Times New Roman" w:cs="Times New Roman"/>
          <w:sz w:val="24"/>
          <w:szCs w:val="24"/>
          <w:lang w:val="en-US"/>
        </w:rPr>
        <w:t>nd drive internal change (Nair and</w:t>
      </w:r>
      <w:r w:rsidRPr="008751F4">
        <w:rPr>
          <w:rFonts w:ascii="Times New Roman" w:hAnsi="Times New Roman" w:cs="Times New Roman"/>
          <w:sz w:val="24"/>
          <w:szCs w:val="24"/>
          <w:lang w:val="en-US"/>
        </w:rPr>
        <w:t xml:space="preserve"> Prajogo, 2009; Nunhes et al., 2016).</w:t>
      </w:r>
      <w:r w:rsidR="00031A9E" w:rsidRPr="008751F4">
        <w:rPr>
          <w:rFonts w:ascii="Times New Roman" w:hAnsi="Times New Roman" w:cs="Times New Roman"/>
          <w:sz w:val="24"/>
          <w:szCs w:val="24"/>
          <w:lang w:val="en-US"/>
        </w:rPr>
        <w:t xml:space="preserve"> </w:t>
      </w:r>
    </w:p>
    <w:p w:rsidR="00FD30AF" w:rsidRPr="008751F4" w:rsidRDefault="00031A9E" w:rsidP="00C1414A">
      <w:pPr>
        <w:tabs>
          <w:tab w:val="left" w:pos="2880"/>
          <w:tab w:val="left" w:pos="2970"/>
        </w:tabs>
        <w:autoSpaceDE w:val="0"/>
        <w:autoSpaceDN w:val="0"/>
        <w:adjustRightInd w:val="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 xml:space="preserve">Long-term effectiveness and value addition </w:t>
      </w:r>
      <w:r w:rsidR="00E13B93" w:rsidRPr="008751F4">
        <w:rPr>
          <w:rFonts w:ascii="Times New Roman" w:hAnsi="Times New Roman" w:cs="Times New Roman"/>
          <w:sz w:val="24"/>
          <w:szCs w:val="24"/>
          <w:lang w:val="en-US"/>
        </w:rPr>
        <w:t>of</w:t>
      </w:r>
      <w:r w:rsidRPr="008751F4">
        <w:rPr>
          <w:rFonts w:ascii="Times New Roman" w:hAnsi="Times New Roman" w:cs="Times New Roman"/>
          <w:sz w:val="24"/>
          <w:szCs w:val="24"/>
          <w:lang w:val="en-US"/>
        </w:rPr>
        <w:t xml:space="preserve"> management system </w:t>
      </w:r>
      <w:r w:rsidR="009E649A" w:rsidRPr="008751F4">
        <w:rPr>
          <w:rFonts w:ascii="Times New Roman" w:hAnsi="Times New Roman" w:cs="Times New Roman"/>
          <w:sz w:val="24"/>
          <w:szCs w:val="24"/>
          <w:lang w:val="en-US"/>
        </w:rPr>
        <w:t>standards do not depend on the standard</w:t>
      </w:r>
      <w:r w:rsidRPr="008751F4">
        <w:rPr>
          <w:rFonts w:ascii="Times New Roman" w:hAnsi="Times New Roman" w:cs="Times New Roman"/>
          <w:sz w:val="24"/>
          <w:szCs w:val="24"/>
          <w:lang w:val="en-US"/>
        </w:rPr>
        <w:t xml:space="preserve"> requirements</w:t>
      </w:r>
      <w:r w:rsidR="00257094" w:rsidRPr="008751F4">
        <w:rPr>
          <w:rFonts w:ascii="Times New Roman" w:hAnsi="Times New Roman" w:cs="Times New Roman"/>
          <w:sz w:val="24"/>
          <w:szCs w:val="24"/>
          <w:lang w:val="en-US"/>
        </w:rPr>
        <w:t xml:space="preserve"> themselves</w:t>
      </w:r>
      <w:r w:rsidRPr="008751F4">
        <w:rPr>
          <w:rFonts w:ascii="Times New Roman" w:hAnsi="Times New Roman" w:cs="Times New Roman"/>
          <w:sz w:val="24"/>
          <w:szCs w:val="24"/>
          <w:lang w:val="en-US"/>
        </w:rPr>
        <w:t xml:space="preserve"> but on the way that com</w:t>
      </w:r>
      <w:r w:rsidR="00E13B93" w:rsidRPr="008751F4">
        <w:rPr>
          <w:rFonts w:ascii="Times New Roman" w:hAnsi="Times New Roman" w:cs="Times New Roman"/>
          <w:sz w:val="24"/>
          <w:szCs w:val="24"/>
          <w:lang w:val="en-US"/>
        </w:rPr>
        <w:t>panies adopt and implement these</w:t>
      </w:r>
      <w:r w:rsidRPr="008751F4">
        <w:rPr>
          <w:rFonts w:ascii="Times New Roman" w:hAnsi="Times New Roman" w:cs="Times New Roman"/>
          <w:sz w:val="24"/>
          <w:szCs w:val="24"/>
          <w:lang w:val="en-US"/>
        </w:rPr>
        <w:t xml:space="preserve"> standards</w:t>
      </w:r>
      <w:r w:rsidR="00E13B93" w:rsidRPr="008751F4">
        <w:rPr>
          <w:rFonts w:ascii="Times New Roman" w:hAnsi="Times New Roman" w:cs="Times New Roman"/>
          <w:sz w:val="24"/>
          <w:szCs w:val="24"/>
          <w:lang w:val="en-US"/>
        </w:rPr>
        <w:t xml:space="preserve"> or otherwise </w:t>
      </w:r>
      <w:r w:rsidRPr="008751F4">
        <w:rPr>
          <w:rFonts w:ascii="Times New Roman" w:hAnsi="Times New Roman" w:cs="Times New Roman"/>
          <w:sz w:val="24"/>
          <w:szCs w:val="24"/>
          <w:lang w:val="en-US"/>
        </w:rPr>
        <w:t>the depth</w:t>
      </w:r>
      <w:r w:rsidR="00E13B93" w:rsidRPr="008751F4">
        <w:rPr>
          <w:rFonts w:ascii="Times New Roman" w:hAnsi="Times New Roman" w:cs="Times New Roman"/>
          <w:sz w:val="24"/>
          <w:szCs w:val="24"/>
          <w:lang w:val="en-US"/>
        </w:rPr>
        <w:t xml:space="preserve"> to which a company decid</w:t>
      </w:r>
      <w:r w:rsidRPr="008751F4">
        <w:rPr>
          <w:rFonts w:ascii="Times New Roman" w:hAnsi="Times New Roman" w:cs="Times New Roman"/>
          <w:sz w:val="24"/>
          <w:szCs w:val="24"/>
          <w:lang w:val="en-US"/>
        </w:rPr>
        <w:t>es</w:t>
      </w:r>
      <w:r w:rsidR="00E13B93" w:rsidRPr="008751F4">
        <w:rPr>
          <w:rFonts w:ascii="Times New Roman" w:hAnsi="Times New Roman" w:cs="Times New Roman"/>
          <w:sz w:val="24"/>
          <w:szCs w:val="24"/>
          <w:lang w:val="en-US"/>
        </w:rPr>
        <w:t xml:space="preserve"> and commits to meet their</w:t>
      </w:r>
      <w:r w:rsidRPr="008751F4">
        <w:rPr>
          <w:rFonts w:ascii="Times New Roman" w:hAnsi="Times New Roman" w:cs="Times New Roman"/>
          <w:sz w:val="24"/>
          <w:szCs w:val="24"/>
          <w:lang w:val="en-US"/>
        </w:rPr>
        <w:t xml:space="preserve"> requirements (Gotzamani</w:t>
      </w:r>
      <w:r w:rsidR="00E13B93" w:rsidRPr="008751F4">
        <w:rPr>
          <w:rFonts w:ascii="Times New Roman" w:hAnsi="Times New Roman" w:cs="Times New Roman"/>
          <w:sz w:val="24"/>
          <w:szCs w:val="24"/>
          <w:lang w:val="en-US"/>
        </w:rPr>
        <w:t xml:space="preserve"> </w:t>
      </w:r>
      <w:r w:rsidR="00421EEC">
        <w:rPr>
          <w:rFonts w:ascii="Times New Roman" w:hAnsi="Times New Roman" w:cs="Times New Roman"/>
          <w:sz w:val="24"/>
          <w:szCs w:val="24"/>
          <w:lang w:val="en-US"/>
        </w:rPr>
        <w:t>and</w:t>
      </w:r>
      <w:r w:rsidR="00E13B93" w:rsidRPr="008751F4">
        <w:rPr>
          <w:rFonts w:ascii="Times New Roman" w:hAnsi="Times New Roman" w:cs="Times New Roman"/>
          <w:sz w:val="24"/>
          <w:szCs w:val="24"/>
          <w:lang w:val="en-US"/>
        </w:rPr>
        <w:t xml:space="preserve"> </w:t>
      </w:r>
      <w:r w:rsidRPr="008751F4">
        <w:rPr>
          <w:rFonts w:ascii="Times New Roman" w:hAnsi="Times New Roman" w:cs="Times New Roman"/>
          <w:sz w:val="24"/>
          <w:szCs w:val="24"/>
          <w:lang w:val="en-US"/>
        </w:rPr>
        <w:t>Tsiotras, 2002).</w:t>
      </w:r>
      <w:r w:rsidR="00E13B93" w:rsidRPr="008751F4">
        <w:rPr>
          <w:rFonts w:ascii="Times New Roman" w:hAnsi="Times New Roman" w:cs="Times New Roman"/>
          <w:sz w:val="24"/>
          <w:szCs w:val="24"/>
          <w:lang w:val="en-US"/>
        </w:rPr>
        <w:t xml:space="preserve"> </w:t>
      </w:r>
      <w:r w:rsidR="00306767" w:rsidRPr="008751F4">
        <w:rPr>
          <w:rFonts w:ascii="Times New Roman" w:hAnsi="Times New Roman" w:cs="Times New Roman"/>
          <w:b/>
          <w:i/>
          <w:sz w:val="24"/>
          <w:szCs w:val="24"/>
          <w:lang w:val="en-US"/>
        </w:rPr>
        <w:t>Level</w:t>
      </w:r>
      <w:r w:rsidR="00306767" w:rsidRPr="008751F4">
        <w:rPr>
          <w:rFonts w:ascii="Times New Roman" w:hAnsi="Times New Roman" w:cs="Times New Roman"/>
          <w:sz w:val="24"/>
          <w:szCs w:val="24"/>
          <w:lang w:val="en-US"/>
        </w:rPr>
        <w:t xml:space="preserve"> of internalization of </w:t>
      </w:r>
      <w:r w:rsidR="00D05ADE" w:rsidRPr="008751F4">
        <w:rPr>
          <w:rFonts w:ascii="Times New Roman" w:hAnsi="Times New Roman" w:cs="Times New Roman"/>
          <w:sz w:val="24"/>
          <w:szCs w:val="24"/>
          <w:lang w:val="en-US"/>
        </w:rPr>
        <w:t>management system standards’ requirements is</w:t>
      </w:r>
      <w:r w:rsidR="00306767" w:rsidRPr="008751F4">
        <w:rPr>
          <w:rFonts w:ascii="Times New Roman" w:hAnsi="Times New Roman" w:cs="Times New Roman"/>
          <w:sz w:val="24"/>
          <w:szCs w:val="24"/>
          <w:lang w:val="en-US"/>
        </w:rPr>
        <w:t xml:space="preserve"> measured through management planning (policy, objectives), training and employee involvement (motivation, teams, identification of needs), operational activities (work instructions, risk management procedures), monitoring and checking (performance, non-compliance, audits)</w:t>
      </w:r>
      <w:r w:rsidR="009911D4" w:rsidRPr="008751F4">
        <w:rPr>
          <w:rFonts w:ascii="Times New Roman" w:hAnsi="Times New Roman" w:cs="Times New Roman"/>
          <w:sz w:val="24"/>
          <w:szCs w:val="24"/>
          <w:lang w:val="en-US"/>
        </w:rPr>
        <w:t xml:space="preserve"> (Testa et al., 2018</w:t>
      </w:r>
      <w:r w:rsidR="009E649A" w:rsidRPr="008751F4">
        <w:rPr>
          <w:rFonts w:ascii="Times New Roman" w:hAnsi="Times New Roman" w:cs="Times New Roman"/>
          <w:sz w:val="24"/>
          <w:szCs w:val="24"/>
          <w:lang w:val="en-US"/>
        </w:rPr>
        <w:t>b</w:t>
      </w:r>
      <w:r w:rsidR="009911D4" w:rsidRPr="008751F4">
        <w:rPr>
          <w:rFonts w:ascii="Times New Roman" w:hAnsi="Times New Roman" w:cs="Times New Roman"/>
          <w:sz w:val="24"/>
          <w:szCs w:val="24"/>
          <w:lang w:val="en-US"/>
        </w:rPr>
        <w:t>).</w:t>
      </w:r>
      <w:r w:rsidR="00E94CDE" w:rsidRPr="008751F4">
        <w:rPr>
          <w:rFonts w:ascii="Times New Roman" w:hAnsi="Times New Roman" w:cs="Times New Roman"/>
          <w:sz w:val="24"/>
          <w:szCs w:val="24"/>
          <w:lang w:val="en-US"/>
        </w:rPr>
        <w:t xml:space="preserve"> </w:t>
      </w:r>
      <w:r w:rsidR="001E33C9" w:rsidRPr="008751F4">
        <w:rPr>
          <w:rFonts w:ascii="Times New Roman" w:hAnsi="Times New Roman" w:cs="Times New Roman"/>
          <w:sz w:val="24"/>
          <w:szCs w:val="24"/>
          <w:lang w:val="en-US"/>
        </w:rPr>
        <w:t xml:space="preserve">Internalization </w:t>
      </w:r>
      <w:r w:rsidR="007F6B3F" w:rsidRPr="008751F4">
        <w:rPr>
          <w:rFonts w:ascii="Times New Roman" w:hAnsi="Times New Roman" w:cs="Times New Roman"/>
          <w:sz w:val="24"/>
          <w:szCs w:val="24"/>
          <w:lang w:val="en-US"/>
        </w:rPr>
        <w:t xml:space="preserve">of management system standards </w:t>
      </w:r>
      <w:r w:rsidR="001E33C9" w:rsidRPr="008751F4">
        <w:rPr>
          <w:rFonts w:ascii="Times New Roman" w:hAnsi="Times New Roman" w:cs="Times New Roman"/>
          <w:sz w:val="24"/>
          <w:szCs w:val="24"/>
          <w:lang w:val="en-US"/>
        </w:rPr>
        <w:t>has a positive</w:t>
      </w:r>
      <w:r w:rsidR="007F6B3F" w:rsidRPr="008751F4">
        <w:rPr>
          <w:rFonts w:ascii="Times New Roman" w:hAnsi="Times New Roman" w:cs="Times New Roman"/>
          <w:sz w:val="24"/>
          <w:szCs w:val="24"/>
          <w:lang w:val="en-US"/>
        </w:rPr>
        <w:t xml:space="preserve"> impact on operational, environmental and social performance</w:t>
      </w:r>
      <w:r w:rsidR="007F6B3F" w:rsidRPr="008751F4">
        <w:rPr>
          <w:rStyle w:val="eop"/>
          <w:rFonts w:ascii="Times New Roman" w:hAnsi="Times New Roman" w:cs="Times New Roman"/>
          <w:color w:val="000000"/>
          <w:sz w:val="24"/>
          <w:szCs w:val="24"/>
          <w:shd w:val="clear" w:color="auto" w:fill="FFFFFF"/>
          <w:lang w:val="en-US"/>
        </w:rPr>
        <w:t xml:space="preserve"> </w:t>
      </w:r>
      <w:r w:rsidR="00D13B08" w:rsidRPr="008751F4">
        <w:rPr>
          <w:rFonts w:ascii="Times New Roman" w:hAnsi="Times New Roman" w:cs="Times New Roman"/>
          <w:sz w:val="24"/>
          <w:szCs w:val="24"/>
          <w:lang w:val="en-US"/>
        </w:rPr>
        <w:t>(</w:t>
      </w:r>
      <w:r w:rsidR="007F6B3F" w:rsidRPr="008751F4">
        <w:rPr>
          <w:rStyle w:val="normaltextrun"/>
          <w:rFonts w:ascii="Times New Roman" w:hAnsi="Times New Roman" w:cs="Times New Roman"/>
          <w:color w:val="000000"/>
          <w:sz w:val="24"/>
          <w:szCs w:val="24"/>
          <w:shd w:val="clear" w:color="auto" w:fill="FFFFFF"/>
          <w:lang w:val="en-US"/>
        </w:rPr>
        <w:t>Heras-</w:t>
      </w:r>
      <w:r w:rsidR="007F6B3F" w:rsidRPr="008751F4">
        <w:rPr>
          <w:rStyle w:val="spellingerror"/>
          <w:rFonts w:ascii="Times New Roman" w:hAnsi="Times New Roman" w:cs="Times New Roman"/>
          <w:color w:val="000000"/>
          <w:sz w:val="24"/>
          <w:szCs w:val="24"/>
          <w:shd w:val="clear" w:color="auto" w:fill="FFFFFF"/>
          <w:lang w:val="en-US"/>
        </w:rPr>
        <w:t>Saizarbitoria</w:t>
      </w:r>
      <w:r w:rsidR="007F6B3F" w:rsidRPr="008751F4">
        <w:rPr>
          <w:rStyle w:val="normaltextrun"/>
          <w:rFonts w:ascii="Times New Roman" w:hAnsi="Times New Roman" w:cs="Times New Roman"/>
          <w:color w:val="000000"/>
          <w:sz w:val="24"/>
          <w:szCs w:val="24"/>
          <w:shd w:val="clear" w:color="auto" w:fill="FFFFFF"/>
          <w:lang w:val="en-US"/>
        </w:rPr>
        <w:t>, 2011;</w:t>
      </w:r>
      <w:r w:rsidR="00E94CDE" w:rsidRPr="00496F78">
        <w:rPr>
          <w:rFonts w:ascii="Times New Roman" w:hAnsi="Times New Roman" w:cs="Times New Roman"/>
          <w:sz w:val="24"/>
          <w:szCs w:val="24"/>
          <w:lang w:val="en-US"/>
        </w:rPr>
        <w:t xml:space="preserve"> Ketokivi and Schroeder, 2004;</w:t>
      </w:r>
      <w:r w:rsidR="007F6B3F" w:rsidRPr="008751F4">
        <w:rPr>
          <w:rStyle w:val="normaltextrun"/>
          <w:rFonts w:ascii="Times New Roman" w:hAnsi="Times New Roman" w:cs="Times New Roman"/>
          <w:color w:val="000000"/>
          <w:sz w:val="24"/>
          <w:szCs w:val="24"/>
          <w:shd w:val="clear" w:color="auto" w:fill="FFFFFF"/>
          <w:lang w:val="en-US"/>
        </w:rPr>
        <w:t xml:space="preserve"> </w:t>
      </w:r>
      <w:r w:rsidR="001E33C9" w:rsidRPr="008751F4">
        <w:rPr>
          <w:rFonts w:ascii="Times New Roman" w:hAnsi="Times New Roman" w:cs="Times New Roman"/>
          <w:sz w:val="24"/>
          <w:szCs w:val="24"/>
          <w:lang w:val="en-US"/>
        </w:rPr>
        <w:t>Qi et al., 2012).</w:t>
      </w:r>
    </w:p>
    <w:p w:rsidR="000B6096" w:rsidRDefault="00AE6A38" w:rsidP="00C1414A">
      <w:pPr>
        <w:tabs>
          <w:tab w:val="left" w:pos="2970"/>
        </w:tabs>
        <w:autoSpaceDE w:val="0"/>
        <w:autoSpaceDN w:val="0"/>
        <w:adjustRightInd w:val="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 xml:space="preserve">In this context, integration of multiple management systems is considered as substantive implementation or otherwise internalization of multiple management systems and draws on resource and institutional theories (Gianni et al., 2017) </w:t>
      </w:r>
      <w:r w:rsidR="000411BB" w:rsidRPr="008751F4">
        <w:rPr>
          <w:rFonts w:ascii="Times New Roman" w:hAnsi="Times New Roman" w:cs="Times New Roman"/>
          <w:sz w:val="24"/>
          <w:szCs w:val="24"/>
          <w:lang w:val="en-US"/>
        </w:rPr>
        <w:t>to be operationalized (see Annex</w:t>
      </w:r>
      <w:r w:rsidR="001B00B5">
        <w:rPr>
          <w:rFonts w:ascii="Times New Roman" w:hAnsi="Times New Roman" w:cs="Times New Roman"/>
          <w:sz w:val="24"/>
          <w:szCs w:val="24"/>
          <w:lang w:val="en-US"/>
        </w:rPr>
        <w:t xml:space="preserve"> I</w:t>
      </w:r>
      <w:r w:rsidR="000411BB" w:rsidRPr="008751F4">
        <w:rPr>
          <w:rFonts w:ascii="Times New Roman" w:hAnsi="Times New Roman" w:cs="Times New Roman"/>
          <w:sz w:val="24"/>
          <w:szCs w:val="24"/>
          <w:lang w:val="en-US"/>
        </w:rPr>
        <w:t>).</w:t>
      </w:r>
    </w:p>
    <w:p w:rsidR="00C1414A" w:rsidRPr="008751F4" w:rsidRDefault="00C1414A" w:rsidP="00C1414A">
      <w:pPr>
        <w:tabs>
          <w:tab w:val="left" w:pos="2970"/>
        </w:tabs>
        <w:autoSpaceDE w:val="0"/>
        <w:autoSpaceDN w:val="0"/>
        <w:adjustRightInd w:val="0"/>
        <w:ind w:firstLine="288"/>
        <w:jc w:val="both"/>
        <w:rPr>
          <w:rFonts w:ascii="Times New Roman" w:hAnsi="Times New Roman" w:cs="Times New Roman"/>
          <w:sz w:val="24"/>
          <w:szCs w:val="24"/>
          <w:lang w:val="en-US"/>
        </w:rPr>
      </w:pPr>
    </w:p>
    <w:p w:rsidR="00F347E4" w:rsidRDefault="00A9294E" w:rsidP="00C1414A">
      <w:pPr>
        <w:tabs>
          <w:tab w:val="left" w:pos="2970"/>
        </w:tabs>
        <w:rPr>
          <w:rFonts w:ascii="Times New Roman" w:hAnsi="Times New Roman" w:cs="Times New Roman"/>
          <w:i/>
          <w:noProof/>
          <w:sz w:val="24"/>
          <w:szCs w:val="24"/>
          <w:lang w:val="en-US"/>
        </w:rPr>
      </w:pPr>
      <w:r w:rsidRPr="008751F4">
        <w:rPr>
          <w:rFonts w:ascii="Times New Roman" w:hAnsi="Times New Roman" w:cs="Times New Roman"/>
          <w:i/>
          <w:noProof/>
          <w:sz w:val="24"/>
          <w:szCs w:val="24"/>
          <w:lang w:val="en-US"/>
        </w:rPr>
        <w:t>Corporate Sustainability Performance</w:t>
      </w:r>
    </w:p>
    <w:p w:rsidR="00C1414A" w:rsidRPr="008751F4" w:rsidRDefault="00C1414A" w:rsidP="00C1414A">
      <w:pPr>
        <w:tabs>
          <w:tab w:val="left" w:pos="2970"/>
        </w:tabs>
        <w:rPr>
          <w:rFonts w:ascii="Times New Roman" w:hAnsi="Times New Roman" w:cs="Times New Roman"/>
          <w:i/>
          <w:noProof/>
          <w:sz w:val="24"/>
          <w:szCs w:val="24"/>
          <w:lang w:val="en-US"/>
        </w:rPr>
      </w:pPr>
    </w:p>
    <w:p w:rsidR="00457FEC" w:rsidRDefault="00725402" w:rsidP="00C1414A">
      <w:pPr>
        <w:ind w:firstLine="288"/>
        <w:jc w:val="both"/>
        <w:rPr>
          <w:rFonts w:ascii="Times New Roman" w:hAnsi="Times New Roman" w:cs="Times New Roman"/>
          <w:sz w:val="24"/>
          <w:szCs w:val="24"/>
          <w:lang w:val="en-GB"/>
        </w:rPr>
      </w:pPr>
      <w:r w:rsidRPr="00732D26">
        <w:rPr>
          <w:rFonts w:ascii="Times New Roman" w:hAnsi="Times New Roman" w:cs="Times New Roman"/>
          <w:color w:val="231F20"/>
          <w:sz w:val="24"/>
          <w:szCs w:val="24"/>
          <w:lang w:val="en-GB"/>
        </w:rPr>
        <w:t xml:space="preserve">Business sustainability and corporate social responsibility are jointly considered in literature in the wider term “corporate sustainability” (Will et al., 2019). </w:t>
      </w:r>
      <w:r w:rsidR="00732D26" w:rsidRPr="00732D26">
        <w:rPr>
          <w:rFonts w:ascii="Times New Roman" w:hAnsi="Times New Roman" w:cs="Times New Roman"/>
          <w:color w:val="231F20"/>
          <w:sz w:val="24"/>
          <w:szCs w:val="24"/>
          <w:lang w:val="en-GB"/>
        </w:rPr>
        <w:t>Moreover, c</w:t>
      </w:r>
      <w:r w:rsidR="00732D26" w:rsidRPr="00732D26">
        <w:rPr>
          <w:rFonts w:ascii="Times New Roman" w:hAnsi="Times New Roman" w:cs="Times New Roman"/>
          <w:sz w:val="24"/>
          <w:szCs w:val="24"/>
          <w:lang w:val="en-GB"/>
        </w:rPr>
        <w:t xml:space="preserve">orporate social responsibility is often used interchangeably with corporate sustainability (Dyllick and Muff, 2016). In this sense, corporate social performance generally reflects how well a company transforms stakeholder orientation, a managerial attitude, into stakeholder satisfaction </w:t>
      </w:r>
      <w:r w:rsidR="00CE2C86" w:rsidRPr="00732D26">
        <w:rPr>
          <w:rFonts w:ascii="Times New Roman" w:hAnsi="Times New Roman" w:cs="Times New Roman"/>
          <w:color w:val="231F20"/>
          <w:sz w:val="24"/>
          <w:szCs w:val="24"/>
          <w:lang w:val="en-GB"/>
        </w:rPr>
        <w:t xml:space="preserve">(Luk et al., 2005). </w:t>
      </w:r>
      <w:r w:rsidR="00126C58" w:rsidRPr="00732D26">
        <w:rPr>
          <w:rFonts w:ascii="Times New Roman" w:hAnsi="Times New Roman" w:cs="Times New Roman"/>
          <w:sz w:val="24"/>
          <w:szCs w:val="24"/>
          <w:lang w:val="en-GB"/>
        </w:rPr>
        <w:t xml:space="preserve">Literature emphasises </w:t>
      </w:r>
      <w:r w:rsidR="00CE2C86" w:rsidRPr="00732D26">
        <w:rPr>
          <w:rFonts w:ascii="Times New Roman" w:hAnsi="Times New Roman" w:cs="Times New Roman"/>
          <w:sz w:val="24"/>
          <w:szCs w:val="24"/>
          <w:lang w:val="en-GB"/>
        </w:rPr>
        <w:t>the dual role of stakeholders</w:t>
      </w:r>
      <w:r w:rsidR="007B5BC6" w:rsidRPr="00732D26">
        <w:rPr>
          <w:rFonts w:ascii="Times New Roman" w:hAnsi="Times New Roman" w:cs="Times New Roman"/>
          <w:sz w:val="24"/>
          <w:szCs w:val="24"/>
          <w:lang w:val="en-US"/>
        </w:rPr>
        <w:t xml:space="preserve"> pr</w:t>
      </w:r>
      <w:r w:rsidR="004A3C23" w:rsidRPr="00732D26">
        <w:rPr>
          <w:rFonts w:ascii="Times New Roman" w:hAnsi="Times New Roman" w:cs="Times New Roman"/>
          <w:sz w:val="24"/>
          <w:szCs w:val="24"/>
          <w:lang w:val="en-US"/>
        </w:rPr>
        <w:t>oviding both inputs</w:t>
      </w:r>
      <w:r w:rsidR="00126C58" w:rsidRPr="00732D26">
        <w:rPr>
          <w:rFonts w:ascii="Times New Roman" w:hAnsi="Times New Roman" w:cs="Times New Roman"/>
          <w:sz w:val="24"/>
          <w:szCs w:val="24"/>
          <w:lang w:val="en-US"/>
        </w:rPr>
        <w:t xml:space="preserve"> (requirements)</w:t>
      </w:r>
      <w:r w:rsidR="004A3C23" w:rsidRPr="00732D26">
        <w:rPr>
          <w:rFonts w:ascii="Times New Roman" w:hAnsi="Times New Roman" w:cs="Times New Roman"/>
          <w:sz w:val="24"/>
          <w:szCs w:val="24"/>
          <w:lang w:val="en-US"/>
        </w:rPr>
        <w:t xml:space="preserve"> and outputs</w:t>
      </w:r>
      <w:r w:rsidR="00F61BE5" w:rsidRPr="00732D26">
        <w:rPr>
          <w:rFonts w:ascii="Times New Roman" w:hAnsi="Times New Roman" w:cs="Times New Roman"/>
          <w:sz w:val="24"/>
          <w:szCs w:val="24"/>
          <w:lang w:val="en-US"/>
        </w:rPr>
        <w:t xml:space="preserve"> (satisfaction) for</w:t>
      </w:r>
      <w:r w:rsidR="00126C58" w:rsidRPr="00732D26">
        <w:rPr>
          <w:rFonts w:ascii="Times New Roman" w:hAnsi="Times New Roman" w:cs="Times New Roman"/>
          <w:sz w:val="24"/>
          <w:szCs w:val="24"/>
          <w:lang w:val="en-US"/>
        </w:rPr>
        <w:t xml:space="preserve"> the management systems</w:t>
      </w:r>
      <w:r w:rsidR="004A3C23" w:rsidRPr="00732D26">
        <w:rPr>
          <w:rFonts w:ascii="Times New Roman" w:hAnsi="Times New Roman" w:cs="Times New Roman"/>
          <w:sz w:val="24"/>
          <w:szCs w:val="24"/>
          <w:lang w:val="en-US"/>
        </w:rPr>
        <w:t xml:space="preserve"> </w:t>
      </w:r>
      <w:r w:rsidR="00126C58" w:rsidRPr="00732D26">
        <w:rPr>
          <w:rFonts w:ascii="Times New Roman" w:hAnsi="Times New Roman" w:cs="Times New Roman"/>
          <w:sz w:val="24"/>
          <w:szCs w:val="24"/>
          <w:lang w:val="en-US"/>
        </w:rPr>
        <w:t>(</w:t>
      </w:r>
      <w:r w:rsidR="00126C58" w:rsidRPr="00732D26">
        <w:rPr>
          <w:rFonts w:ascii="Times New Roman" w:hAnsi="Times New Roman" w:cs="Times New Roman"/>
          <w:sz w:val="24"/>
          <w:szCs w:val="24"/>
          <w:lang w:val="en-GB"/>
        </w:rPr>
        <w:t xml:space="preserve">Rocha </w:t>
      </w:r>
      <w:r w:rsidR="00126C58" w:rsidRPr="00732D26">
        <w:rPr>
          <w:rFonts w:ascii="Times New Roman" w:hAnsi="Times New Roman" w:cs="Times New Roman"/>
          <w:i/>
          <w:sz w:val="24"/>
          <w:szCs w:val="24"/>
          <w:lang w:val="en-GB"/>
        </w:rPr>
        <w:t>et al</w:t>
      </w:r>
      <w:r w:rsidR="00126C58" w:rsidRPr="00732D26">
        <w:rPr>
          <w:rFonts w:ascii="Times New Roman" w:hAnsi="Times New Roman" w:cs="Times New Roman"/>
          <w:sz w:val="24"/>
          <w:szCs w:val="24"/>
          <w:lang w:val="en-GB"/>
        </w:rPr>
        <w:t>., 2007). Hence, acade</w:t>
      </w:r>
      <w:r w:rsidR="00F61BE5" w:rsidRPr="00732D26">
        <w:rPr>
          <w:rFonts w:ascii="Times New Roman" w:hAnsi="Times New Roman" w:cs="Times New Roman"/>
          <w:sz w:val="24"/>
          <w:szCs w:val="24"/>
          <w:lang w:val="en-GB"/>
        </w:rPr>
        <w:t xml:space="preserve">mics and practitioners seek </w:t>
      </w:r>
      <w:r w:rsidR="00126C58" w:rsidRPr="00732D26">
        <w:rPr>
          <w:rFonts w:ascii="Times New Roman" w:hAnsi="Times New Roman" w:cs="Times New Roman"/>
          <w:sz w:val="24"/>
          <w:szCs w:val="24"/>
          <w:lang w:val="en-GB"/>
        </w:rPr>
        <w:t>ways of</w:t>
      </w:r>
      <w:r w:rsidR="003F55FA" w:rsidRPr="00732D26">
        <w:rPr>
          <w:rFonts w:ascii="Times New Roman" w:hAnsi="Times New Roman" w:cs="Times New Roman"/>
          <w:sz w:val="24"/>
          <w:szCs w:val="24"/>
          <w:lang w:val="en-GB"/>
        </w:rPr>
        <w:t xml:space="preserve"> meeting </w:t>
      </w:r>
      <w:r w:rsidR="00126C58" w:rsidRPr="00732D26">
        <w:rPr>
          <w:rFonts w:ascii="Times New Roman" w:hAnsi="Times New Roman" w:cs="Times New Roman"/>
          <w:sz w:val="24"/>
          <w:szCs w:val="24"/>
          <w:lang w:val="en-GB"/>
        </w:rPr>
        <w:t>stakeholder expectations in a wider management framework driven by</w:t>
      </w:r>
      <w:r w:rsidR="003F55FA" w:rsidRPr="00732D26">
        <w:rPr>
          <w:rFonts w:ascii="Times New Roman" w:hAnsi="Times New Roman" w:cs="Times New Roman"/>
          <w:sz w:val="24"/>
          <w:szCs w:val="24"/>
          <w:lang w:val="en-GB"/>
        </w:rPr>
        <w:t xml:space="preserve"> accountability and </w:t>
      </w:r>
      <w:r w:rsidR="00126C58" w:rsidRPr="00732D26">
        <w:rPr>
          <w:rFonts w:ascii="Times New Roman" w:hAnsi="Times New Roman" w:cs="Times New Roman"/>
          <w:sz w:val="24"/>
          <w:szCs w:val="24"/>
          <w:lang w:val="en-GB"/>
        </w:rPr>
        <w:t xml:space="preserve">social </w:t>
      </w:r>
      <w:r w:rsidR="003F55FA" w:rsidRPr="00732D26">
        <w:rPr>
          <w:rFonts w:ascii="Times New Roman" w:hAnsi="Times New Roman" w:cs="Times New Roman"/>
          <w:sz w:val="24"/>
          <w:szCs w:val="24"/>
          <w:lang w:val="en-GB"/>
        </w:rPr>
        <w:t>r</w:t>
      </w:r>
      <w:r w:rsidR="00126C58" w:rsidRPr="00732D26">
        <w:rPr>
          <w:rFonts w:ascii="Times New Roman" w:hAnsi="Times New Roman" w:cs="Times New Roman"/>
          <w:sz w:val="24"/>
          <w:szCs w:val="24"/>
          <w:lang w:val="en-GB"/>
        </w:rPr>
        <w:t>esponsibility</w:t>
      </w:r>
      <w:r w:rsidR="004A3C23" w:rsidRPr="00732D26">
        <w:rPr>
          <w:rFonts w:ascii="Times New Roman" w:hAnsi="Times New Roman" w:cs="Times New Roman"/>
          <w:sz w:val="24"/>
          <w:szCs w:val="24"/>
          <w:lang w:val="en-GB"/>
        </w:rPr>
        <w:t xml:space="preserve"> (Maletič </w:t>
      </w:r>
      <w:r w:rsidR="004A3C23" w:rsidRPr="00732D26">
        <w:rPr>
          <w:rFonts w:ascii="Times New Roman" w:hAnsi="Times New Roman" w:cs="Times New Roman"/>
          <w:i/>
          <w:sz w:val="24"/>
          <w:szCs w:val="24"/>
          <w:lang w:val="en-GB"/>
        </w:rPr>
        <w:t>et al</w:t>
      </w:r>
      <w:r w:rsidR="004A3C23" w:rsidRPr="00732D26">
        <w:rPr>
          <w:rFonts w:ascii="Times New Roman" w:hAnsi="Times New Roman" w:cs="Times New Roman"/>
          <w:sz w:val="24"/>
          <w:szCs w:val="24"/>
          <w:lang w:val="en-GB"/>
        </w:rPr>
        <w:t>., 2014).</w:t>
      </w:r>
      <w:r w:rsidR="00457FEC" w:rsidRPr="00732D26">
        <w:rPr>
          <w:rFonts w:ascii="Times New Roman" w:hAnsi="Times New Roman" w:cs="Times New Roman"/>
          <w:sz w:val="24"/>
          <w:szCs w:val="24"/>
          <w:lang w:val="en-GB"/>
        </w:rPr>
        <w:t xml:space="preserve"> </w:t>
      </w:r>
      <w:r w:rsidR="00F61BE5" w:rsidRPr="00732D26">
        <w:rPr>
          <w:rFonts w:ascii="Times New Roman" w:hAnsi="Times New Roman" w:cs="Times New Roman"/>
          <w:sz w:val="24"/>
          <w:szCs w:val="24"/>
          <w:lang w:val="en-GB"/>
        </w:rPr>
        <w:t>Recent research stresses the importance</w:t>
      </w:r>
      <w:r w:rsidR="00F61BE5">
        <w:rPr>
          <w:rFonts w:ascii="Times New Roman" w:hAnsi="Times New Roman" w:cs="Times New Roman"/>
          <w:sz w:val="24"/>
          <w:szCs w:val="24"/>
          <w:lang w:val="en-GB"/>
        </w:rPr>
        <w:t xml:space="preserve"> of integration </w:t>
      </w:r>
      <w:r w:rsidR="00307FB6">
        <w:rPr>
          <w:rFonts w:ascii="Times New Roman" w:hAnsi="Times New Roman" w:cs="Times New Roman"/>
          <w:sz w:val="24"/>
          <w:szCs w:val="24"/>
          <w:lang w:val="en-GB"/>
        </w:rPr>
        <w:t>for the successful linking</w:t>
      </w:r>
      <w:r w:rsidR="00F61BE5">
        <w:rPr>
          <w:rFonts w:ascii="Times New Roman" w:hAnsi="Times New Roman" w:cs="Times New Roman"/>
          <w:sz w:val="24"/>
          <w:szCs w:val="24"/>
          <w:lang w:val="en-GB"/>
        </w:rPr>
        <w:t xml:space="preserve"> of corporate social responsibility </w:t>
      </w:r>
      <w:r w:rsidR="00307FB6">
        <w:rPr>
          <w:rFonts w:ascii="Times New Roman" w:hAnsi="Times New Roman" w:cs="Times New Roman"/>
          <w:sz w:val="24"/>
          <w:szCs w:val="24"/>
          <w:lang w:val="en-GB"/>
        </w:rPr>
        <w:t xml:space="preserve">with existing </w:t>
      </w:r>
      <w:r w:rsidR="00F61BE5">
        <w:rPr>
          <w:rFonts w:ascii="Times New Roman" w:hAnsi="Times New Roman" w:cs="Times New Roman"/>
          <w:sz w:val="24"/>
          <w:szCs w:val="24"/>
          <w:lang w:val="en-GB"/>
        </w:rPr>
        <w:t>management</w:t>
      </w:r>
      <w:r w:rsidR="00307FB6">
        <w:rPr>
          <w:rFonts w:ascii="Times New Roman" w:hAnsi="Times New Roman" w:cs="Times New Roman"/>
          <w:sz w:val="24"/>
          <w:szCs w:val="24"/>
          <w:lang w:val="en-GB"/>
        </w:rPr>
        <w:t xml:space="preserve"> systems (</w:t>
      </w:r>
      <w:r w:rsidR="006A1A6D">
        <w:rPr>
          <w:rFonts w:ascii="Times New Roman" w:hAnsi="Times New Roman" w:cs="Times New Roman"/>
          <w:sz w:val="24"/>
          <w:szCs w:val="24"/>
          <w:lang w:val="en-GB"/>
        </w:rPr>
        <w:t>Will</w:t>
      </w:r>
      <w:r w:rsidR="00307FB6">
        <w:rPr>
          <w:rFonts w:ascii="Times New Roman" w:hAnsi="Times New Roman" w:cs="Times New Roman"/>
          <w:sz w:val="24"/>
          <w:szCs w:val="24"/>
          <w:lang w:val="en-GB"/>
        </w:rPr>
        <w:t xml:space="preserve"> et al., 2019).</w:t>
      </w:r>
    </w:p>
    <w:p w:rsidR="00A9294E" w:rsidRDefault="00457FEC" w:rsidP="00C1414A">
      <w:pPr>
        <w:ind w:firstLine="288"/>
        <w:jc w:val="both"/>
        <w:rPr>
          <w:rFonts w:ascii="Times New Roman" w:hAnsi="Times New Roman" w:cs="Times New Roman"/>
          <w:noProof/>
          <w:sz w:val="24"/>
          <w:szCs w:val="24"/>
          <w:lang w:val="en-US"/>
        </w:rPr>
      </w:pPr>
      <w:r>
        <w:rPr>
          <w:rFonts w:ascii="Times New Roman" w:hAnsi="Times New Roman" w:cs="Times New Roman"/>
          <w:sz w:val="24"/>
          <w:szCs w:val="24"/>
          <w:lang w:val="en-GB"/>
        </w:rPr>
        <w:t>From the standardization perspective, certain attempts have partially addressed the complexity of corporate sustainability management</w:t>
      </w:r>
      <w:r w:rsidR="006A1A6D">
        <w:rPr>
          <w:rFonts w:ascii="Times New Roman" w:hAnsi="Times New Roman" w:cs="Times New Roman"/>
          <w:sz w:val="24"/>
          <w:szCs w:val="24"/>
          <w:lang w:val="en-GB"/>
        </w:rPr>
        <w:t xml:space="preserve"> (</w:t>
      </w:r>
      <w:r w:rsidR="006A1A6D" w:rsidRPr="006A1A6D">
        <w:rPr>
          <w:rFonts w:ascii="Times New Roman" w:hAnsi="Times New Roman" w:cs="Times New Roman"/>
          <w:noProof/>
          <w:sz w:val="24"/>
          <w:szCs w:val="24"/>
          <w:lang w:val="en-US"/>
        </w:rPr>
        <w:t>Maletič</w:t>
      </w:r>
      <w:r w:rsidR="006A1A6D">
        <w:rPr>
          <w:rFonts w:ascii="Times New Roman" w:hAnsi="Times New Roman" w:cs="Times New Roman"/>
          <w:noProof/>
          <w:sz w:val="24"/>
          <w:szCs w:val="24"/>
          <w:lang w:val="en-US"/>
        </w:rPr>
        <w:t xml:space="preserve"> et al.</w:t>
      </w:r>
      <w:r w:rsidR="006A1A6D" w:rsidRPr="006A1A6D">
        <w:rPr>
          <w:rFonts w:ascii="Times New Roman" w:hAnsi="Times New Roman" w:cs="Times New Roman"/>
          <w:noProof/>
          <w:sz w:val="24"/>
          <w:szCs w:val="24"/>
          <w:lang w:val="en-US"/>
        </w:rPr>
        <w:t>,</w:t>
      </w:r>
      <w:r w:rsidR="006A1A6D">
        <w:rPr>
          <w:rFonts w:ascii="Times New Roman" w:hAnsi="Times New Roman" w:cs="Times New Roman"/>
          <w:noProof/>
          <w:sz w:val="24"/>
          <w:szCs w:val="24"/>
          <w:lang w:val="en-US"/>
        </w:rPr>
        <w:t xml:space="preserve"> 2016)</w:t>
      </w:r>
      <w:r>
        <w:rPr>
          <w:rFonts w:ascii="Times New Roman" w:hAnsi="Times New Roman" w:cs="Times New Roman"/>
          <w:sz w:val="24"/>
          <w:szCs w:val="24"/>
          <w:lang w:val="en-GB"/>
        </w:rPr>
        <w:t xml:space="preserve">. </w:t>
      </w:r>
      <w:r w:rsidRPr="008751F4">
        <w:rPr>
          <w:rFonts w:ascii="Times New Roman" w:hAnsi="Times New Roman" w:cs="Times New Roman"/>
          <w:sz w:val="24"/>
          <w:szCs w:val="24"/>
          <w:shd w:val="clear" w:color="auto" w:fill="FFFFFF"/>
          <w:lang w:val="en-GB"/>
        </w:rPr>
        <w:t>The certifiable social accountability (SA 8000) standard is incompatible with the ISO standards structure and fails to address other stakeholders apart from employees and suppliers/subcontractors.</w:t>
      </w:r>
      <w:r w:rsidR="00DC78C0" w:rsidRPr="00DC78C0">
        <w:rPr>
          <w:rFonts w:ascii="Times New Roman" w:hAnsi="Times New Roman" w:cs="Times New Roman"/>
          <w:sz w:val="24"/>
          <w:szCs w:val="24"/>
          <w:lang w:val="en-GB"/>
        </w:rPr>
        <w:t xml:space="preserve"> </w:t>
      </w:r>
      <w:r w:rsidR="00DC78C0">
        <w:rPr>
          <w:rFonts w:ascii="Times New Roman" w:hAnsi="Times New Roman" w:cs="Times New Roman"/>
          <w:sz w:val="24"/>
          <w:szCs w:val="24"/>
          <w:lang w:val="en-GB"/>
        </w:rPr>
        <w:t>Complementary, t</w:t>
      </w:r>
      <w:r w:rsidR="00DC78C0" w:rsidRPr="008751F4">
        <w:rPr>
          <w:rFonts w:ascii="Times New Roman" w:hAnsi="Times New Roman" w:cs="Times New Roman"/>
          <w:sz w:val="24"/>
          <w:szCs w:val="24"/>
          <w:lang w:val="en-GB"/>
        </w:rPr>
        <w:t xml:space="preserve">he non-certifiable </w:t>
      </w:r>
      <w:r w:rsidR="00DC78C0" w:rsidRPr="008751F4">
        <w:rPr>
          <w:rFonts w:ascii="Times New Roman" w:hAnsi="Times New Roman" w:cs="Times New Roman"/>
          <w:sz w:val="24"/>
          <w:szCs w:val="24"/>
          <w:shd w:val="clear" w:color="auto" w:fill="FFFFFF"/>
          <w:lang w:val="en-GB"/>
        </w:rPr>
        <w:t xml:space="preserve">ISO 26000 social responsibility guidance encourages firms to communicate with stakeholders and local communities (Botta </w:t>
      </w:r>
      <w:r w:rsidR="00DC78C0" w:rsidRPr="006A1A6D">
        <w:rPr>
          <w:rFonts w:ascii="Times New Roman" w:hAnsi="Times New Roman" w:cs="Times New Roman"/>
          <w:sz w:val="24"/>
          <w:szCs w:val="24"/>
          <w:lang w:val="en-GB"/>
        </w:rPr>
        <w:t>et al.,</w:t>
      </w:r>
      <w:r w:rsidR="00DC78C0" w:rsidRPr="008751F4">
        <w:rPr>
          <w:rFonts w:ascii="Times New Roman" w:hAnsi="Times New Roman" w:cs="Times New Roman"/>
          <w:sz w:val="24"/>
          <w:szCs w:val="24"/>
          <w:shd w:val="clear" w:color="auto" w:fill="FFFFFF"/>
          <w:lang w:val="en-GB"/>
        </w:rPr>
        <w:t xml:space="preserve"> 2013).</w:t>
      </w:r>
      <w:r w:rsidR="00DC78C0">
        <w:rPr>
          <w:rFonts w:ascii="Times New Roman" w:hAnsi="Times New Roman" w:cs="Times New Roman"/>
          <w:sz w:val="24"/>
          <w:szCs w:val="24"/>
          <w:shd w:val="clear" w:color="auto" w:fill="FFFFFF"/>
          <w:lang w:val="en-GB"/>
        </w:rPr>
        <w:t xml:space="preserve"> </w:t>
      </w:r>
      <w:r w:rsidR="004A3C23" w:rsidRPr="008751F4">
        <w:rPr>
          <w:rFonts w:ascii="Times New Roman" w:hAnsi="Times New Roman" w:cs="Times New Roman"/>
          <w:noProof/>
          <w:sz w:val="24"/>
          <w:szCs w:val="24"/>
          <w:lang w:val="en-US"/>
        </w:rPr>
        <w:t>The triple-bottom line approach of corporate sustainability</w:t>
      </w:r>
      <w:r w:rsidR="004A3C23" w:rsidRPr="008751F4">
        <w:rPr>
          <w:rFonts w:ascii="Times New Roman" w:hAnsi="Times New Roman" w:cs="Times New Roman"/>
          <w:sz w:val="24"/>
          <w:szCs w:val="24"/>
          <w:lang w:val="en-GB"/>
        </w:rPr>
        <w:t xml:space="preserve"> (Elkington, 1997) outlines three dimensions that need to be addressed. </w:t>
      </w:r>
      <w:r w:rsidR="00DC78C0">
        <w:rPr>
          <w:rFonts w:ascii="Times New Roman" w:hAnsi="Times New Roman" w:cs="Times New Roman"/>
          <w:sz w:val="24"/>
          <w:szCs w:val="24"/>
          <w:lang w:val="en-GB"/>
        </w:rPr>
        <w:t>D</w:t>
      </w:r>
      <w:r w:rsidR="003F55FA" w:rsidRPr="008751F4">
        <w:rPr>
          <w:rFonts w:ascii="Times New Roman" w:hAnsi="Times New Roman" w:cs="Times New Roman"/>
          <w:sz w:val="24"/>
          <w:szCs w:val="24"/>
          <w:lang w:val="en-GB"/>
        </w:rPr>
        <w:t xml:space="preserve">rawing upon stakeholder theory </w:t>
      </w:r>
      <w:r w:rsidR="00DC78C0">
        <w:rPr>
          <w:rFonts w:ascii="Times New Roman" w:hAnsi="Times New Roman" w:cs="Times New Roman"/>
          <w:sz w:val="24"/>
          <w:szCs w:val="24"/>
          <w:lang w:val="en-GB"/>
        </w:rPr>
        <w:t xml:space="preserve">corporate sustainability </w:t>
      </w:r>
      <w:r w:rsidR="003F55FA" w:rsidRPr="008751F4">
        <w:rPr>
          <w:rFonts w:ascii="Times New Roman" w:hAnsi="Times New Roman" w:cs="Times New Roman"/>
          <w:sz w:val="24"/>
          <w:szCs w:val="24"/>
          <w:lang w:val="en-GB"/>
        </w:rPr>
        <w:t>performance can be analysed as perceived by stakeholders depending on their inv</w:t>
      </w:r>
      <w:r w:rsidR="00DC78C0">
        <w:rPr>
          <w:rFonts w:ascii="Times New Roman" w:hAnsi="Times New Roman" w:cs="Times New Roman"/>
          <w:sz w:val="24"/>
          <w:szCs w:val="24"/>
          <w:lang w:val="en-GB"/>
        </w:rPr>
        <w:t>olvement and contribution to</w:t>
      </w:r>
      <w:r w:rsidR="003F55FA" w:rsidRPr="008751F4">
        <w:rPr>
          <w:rFonts w:ascii="Times New Roman" w:hAnsi="Times New Roman" w:cs="Times New Roman"/>
          <w:sz w:val="24"/>
          <w:szCs w:val="24"/>
          <w:lang w:val="en-GB"/>
        </w:rPr>
        <w:t xml:space="preserve"> firm performance (</w:t>
      </w:r>
      <w:r w:rsidR="00DC78C0">
        <w:rPr>
          <w:rFonts w:ascii="Times New Roman" w:hAnsi="Times New Roman" w:cs="Times New Roman"/>
          <w:sz w:val="24"/>
          <w:szCs w:val="24"/>
          <w:lang w:val="en-GB"/>
        </w:rPr>
        <w:t xml:space="preserve">Gianni et al., 2017; </w:t>
      </w:r>
      <w:r w:rsidR="003F55FA" w:rsidRPr="008751F4">
        <w:rPr>
          <w:rFonts w:ascii="Times New Roman" w:hAnsi="Times New Roman" w:cs="Times New Roman"/>
          <w:sz w:val="24"/>
          <w:szCs w:val="24"/>
          <w:lang w:val="en-GB"/>
        </w:rPr>
        <w:t xml:space="preserve">Wiengarten et al., 2017). </w:t>
      </w:r>
      <w:r w:rsidR="00DC78C0">
        <w:rPr>
          <w:rFonts w:ascii="Times New Roman" w:hAnsi="Times New Roman" w:cs="Times New Roman"/>
          <w:noProof/>
          <w:sz w:val="24"/>
          <w:szCs w:val="24"/>
          <w:lang w:val="en-US"/>
        </w:rPr>
        <w:t>Following this line of thought</w:t>
      </w:r>
      <w:r w:rsidR="00F423E8" w:rsidRPr="008751F4">
        <w:rPr>
          <w:rFonts w:ascii="Times New Roman" w:hAnsi="Times New Roman" w:cs="Times New Roman"/>
          <w:noProof/>
          <w:sz w:val="24"/>
          <w:szCs w:val="24"/>
          <w:lang w:val="en-US"/>
        </w:rPr>
        <w:t xml:space="preserve">, this research </w:t>
      </w:r>
      <w:r w:rsidR="007C0BD7" w:rsidRPr="008751F4">
        <w:rPr>
          <w:rFonts w:ascii="Times New Roman" w:hAnsi="Times New Roman" w:cs="Times New Roman"/>
          <w:noProof/>
          <w:sz w:val="24"/>
          <w:szCs w:val="24"/>
          <w:lang w:val="en-US"/>
        </w:rPr>
        <w:t xml:space="preserve">operationalizes corporate sustainability </w:t>
      </w:r>
      <w:r w:rsidR="00F423E8" w:rsidRPr="008751F4">
        <w:rPr>
          <w:rFonts w:ascii="Times New Roman" w:hAnsi="Times New Roman" w:cs="Times New Roman"/>
          <w:noProof/>
          <w:sz w:val="24"/>
          <w:szCs w:val="24"/>
          <w:lang w:val="en-US"/>
        </w:rPr>
        <w:t>performance</w:t>
      </w:r>
      <w:r w:rsidR="00DC78C0">
        <w:rPr>
          <w:rFonts w:ascii="Times New Roman" w:hAnsi="Times New Roman" w:cs="Times New Roman"/>
          <w:noProof/>
          <w:sz w:val="24"/>
          <w:szCs w:val="24"/>
          <w:lang w:val="en-US"/>
        </w:rPr>
        <w:t xml:space="preserve"> reviewing relevant literature</w:t>
      </w:r>
      <w:r w:rsidR="007C0BD7" w:rsidRPr="008751F4">
        <w:rPr>
          <w:rFonts w:ascii="Times New Roman" w:hAnsi="Times New Roman" w:cs="Times New Roman"/>
          <w:noProof/>
          <w:sz w:val="24"/>
          <w:szCs w:val="24"/>
          <w:lang w:val="en-US"/>
        </w:rPr>
        <w:t xml:space="preserve"> </w:t>
      </w:r>
      <w:r w:rsidR="002F30AF">
        <w:rPr>
          <w:rFonts w:ascii="Times New Roman" w:hAnsi="Times New Roman" w:cs="Times New Roman"/>
          <w:noProof/>
          <w:sz w:val="24"/>
          <w:szCs w:val="24"/>
          <w:lang w:val="en-US"/>
        </w:rPr>
        <w:t>(see Annex</w:t>
      </w:r>
      <w:r w:rsidR="001B00B5">
        <w:rPr>
          <w:rFonts w:ascii="Times New Roman" w:hAnsi="Times New Roman" w:cs="Times New Roman"/>
          <w:noProof/>
          <w:sz w:val="24"/>
          <w:szCs w:val="24"/>
          <w:lang w:val="en-US"/>
        </w:rPr>
        <w:t xml:space="preserve"> I</w:t>
      </w:r>
      <w:r w:rsidR="00F423E8" w:rsidRPr="008751F4">
        <w:rPr>
          <w:rFonts w:ascii="Times New Roman" w:hAnsi="Times New Roman" w:cs="Times New Roman"/>
          <w:noProof/>
          <w:sz w:val="24"/>
          <w:szCs w:val="24"/>
          <w:lang w:val="en-US"/>
        </w:rPr>
        <w:t>).</w:t>
      </w:r>
    </w:p>
    <w:p w:rsidR="002463F6" w:rsidRDefault="002463F6" w:rsidP="009F6B86">
      <w:pPr>
        <w:pStyle w:val="Paragraphedeliste"/>
        <w:numPr>
          <w:ilvl w:val="0"/>
          <w:numId w:val="1"/>
        </w:numPr>
        <w:spacing w:after="0" w:line="240" w:lineRule="auto"/>
        <w:ind w:left="284" w:hanging="284"/>
        <w:rPr>
          <w:rFonts w:ascii="Times New Roman" w:hAnsi="Times New Roman"/>
          <w:b/>
          <w:sz w:val="24"/>
          <w:szCs w:val="24"/>
          <w:lang w:val="en-US"/>
        </w:rPr>
      </w:pPr>
      <w:r w:rsidRPr="008751F4">
        <w:rPr>
          <w:rFonts w:ascii="Times New Roman" w:hAnsi="Times New Roman"/>
          <w:b/>
          <w:sz w:val="24"/>
          <w:szCs w:val="24"/>
          <w:lang w:val="en-US"/>
        </w:rPr>
        <w:lastRenderedPageBreak/>
        <w:t>Methods and tools</w:t>
      </w:r>
    </w:p>
    <w:p w:rsidR="00C1414A" w:rsidRPr="009F6B86" w:rsidRDefault="00C1414A" w:rsidP="009F6B86">
      <w:pPr>
        <w:pStyle w:val="Paragraphedeliste"/>
        <w:spacing w:after="0" w:line="240" w:lineRule="auto"/>
        <w:ind w:left="284"/>
        <w:rPr>
          <w:rFonts w:ascii="Times New Roman" w:hAnsi="Times New Roman"/>
          <w:sz w:val="24"/>
          <w:szCs w:val="24"/>
          <w:lang w:val="en-US"/>
        </w:rPr>
      </w:pPr>
    </w:p>
    <w:p w:rsidR="00105EEB" w:rsidRDefault="00105EEB" w:rsidP="009F6B86">
      <w:pPr>
        <w:autoSpaceDE w:val="0"/>
        <w:autoSpaceDN w:val="0"/>
        <w:adjustRightInd w:val="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The theoretically established model has been tested through a field survey. Questionnaire filling has been standardized by holding constant as many attributes of questionnaire administration as possible, particularly the wording of items. In survey research standardization aims to expose each respondent to the same question experience and to assure the identical recording of the response so, that any differences in the responses may be attributed to differences between respondents rather than differences in the responding process (Fowler and Mangione, 1990).</w:t>
      </w:r>
    </w:p>
    <w:p w:rsidR="001E748D" w:rsidRDefault="001E748D" w:rsidP="009F6B86">
      <w:pPr>
        <w:autoSpaceDE w:val="0"/>
        <w:autoSpaceDN w:val="0"/>
        <w:adjustRightInd w:val="0"/>
        <w:ind w:firstLine="288"/>
        <w:jc w:val="both"/>
        <w:rPr>
          <w:rFonts w:ascii="Times New Roman" w:hAnsi="Times New Roman" w:cs="Times New Roman"/>
          <w:sz w:val="24"/>
          <w:szCs w:val="24"/>
          <w:lang w:val="en-US"/>
        </w:rPr>
      </w:pPr>
    </w:p>
    <w:p w:rsidR="002A1EB5" w:rsidRPr="00B3686D" w:rsidRDefault="002A1EB5" w:rsidP="00C1414A">
      <w:pPr>
        <w:jc w:val="both"/>
        <w:rPr>
          <w:rFonts w:ascii="Times New Roman" w:hAnsi="Times New Roman" w:cs="Times New Roman"/>
          <w:i/>
          <w:color w:val="111111"/>
          <w:sz w:val="24"/>
          <w:szCs w:val="24"/>
          <w:shd w:val="clear" w:color="auto" w:fill="FFFFFF"/>
          <w:lang w:val="en-US"/>
        </w:rPr>
      </w:pPr>
      <w:r w:rsidRPr="00B3686D">
        <w:rPr>
          <w:rFonts w:ascii="Times New Roman" w:hAnsi="Times New Roman" w:cs="Times New Roman"/>
          <w:i/>
          <w:color w:val="111111"/>
          <w:sz w:val="24"/>
          <w:szCs w:val="24"/>
          <w:shd w:val="clear" w:color="auto" w:fill="FFFFFF"/>
          <w:lang w:val="en-US"/>
        </w:rPr>
        <w:t>Measuring Instrument</w:t>
      </w:r>
    </w:p>
    <w:p w:rsidR="001B00B5" w:rsidRPr="008751F4" w:rsidRDefault="001B00B5" w:rsidP="00C1414A">
      <w:pPr>
        <w:autoSpaceDE w:val="0"/>
        <w:autoSpaceDN w:val="0"/>
        <w:adjustRightInd w:val="0"/>
        <w:ind w:firstLine="288"/>
        <w:jc w:val="both"/>
        <w:rPr>
          <w:rFonts w:ascii="Times New Roman" w:hAnsi="Times New Roman" w:cs="Times New Roman"/>
          <w:sz w:val="24"/>
          <w:szCs w:val="24"/>
          <w:lang w:val="en-US"/>
        </w:rPr>
      </w:pPr>
      <w:r>
        <w:rPr>
          <w:rFonts w:ascii="Times New Roman" w:hAnsi="Times New Roman" w:cs="Times New Roman"/>
          <w:sz w:val="24"/>
          <w:szCs w:val="24"/>
          <w:lang w:val="en-US"/>
        </w:rPr>
        <w:t>A thorough literature review identified t</w:t>
      </w:r>
      <w:r w:rsidRPr="008751F4">
        <w:rPr>
          <w:rFonts w:ascii="Times New Roman" w:hAnsi="Times New Roman" w:cs="Times New Roman"/>
          <w:sz w:val="24"/>
          <w:szCs w:val="24"/>
          <w:lang w:val="en-US"/>
        </w:rPr>
        <w:t>he questionnair</w:t>
      </w:r>
      <w:r>
        <w:rPr>
          <w:rFonts w:ascii="Times New Roman" w:hAnsi="Times New Roman" w:cs="Times New Roman"/>
          <w:sz w:val="24"/>
          <w:szCs w:val="24"/>
          <w:lang w:val="en-US"/>
        </w:rPr>
        <w:t>e items that are presented in Annex I</w:t>
      </w:r>
      <w:r w:rsidRPr="008751F4">
        <w:rPr>
          <w:rFonts w:ascii="Times New Roman" w:hAnsi="Times New Roman" w:cs="Times New Roman"/>
          <w:sz w:val="24"/>
          <w:szCs w:val="24"/>
          <w:lang w:val="en-US"/>
        </w:rPr>
        <w:t xml:space="preserve">. The questionnaire consists of four parts. The first part includes questions on the demographic profile of a company. Second part refers to resources allocated for planning, implementing and monitoring multiple management systems. Third part addresses the integration level of management systems corresponding to distinct operations. Fourth part aims at evaluating the impact of resource allocation and integration level on corporate sustainability performance. A seven-point Likert response scale was used. Certain questions were reversely stated so that “automated” responses would be avoided. Three </w:t>
      </w:r>
      <w:r w:rsidRPr="008751F4">
        <w:rPr>
          <w:rFonts w:ascii="Times New Roman" w:hAnsi="Times New Roman" w:cs="Times New Roman"/>
          <w:color w:val="111111"/>
          <w:sz w:val="24"/>
          <w:szCs w:val="24"/>
          <w:shd w:val="clear" w:color="auto" w:fill="FFFFFF"/>
          <w:lang w:val="en-US"/>
        </w:rPr>
        <w:t>probe</w:t>
      </w:r>
      <w:r w:rsidRPr="008751F4">
        <w:rPr>
          <w:rFonts w:ascii="Times New Roman" w:hAnsi="Times New Roman" w:cs="Times New Roman"/>
          <w:sz w:val="24"/>
          <w:szCs w:val="24"/>
          <w:lang w:val="en-US"/>
        </w:rPr>
        <w:t xml:space="preserve"> questions at the end of the questionnaire were posed in order to assure comprehension of the questions in the three subsections referring to resources, integration level and corporate sustainability performance. </w:t>
      </w:r>
    </w:p>
    <w:p w:rsidR="00105EEB" w:rsidRDefault="003E64BD" w:rsidP="00C1414A">
      <w:pPr>
        <w:ind w:firstLine="288"/>
        <w:jc w:val="both"/>
        <w:rPr>
          <w:rFonts w:ascii="Times New Roman" w:hAnsi="Times New Roman" w:cs="Times New Roman"/>
          <w:color w:val="111111"/>
          <w:sz w:val="24"/>
          <w:szCs w:val="24"/>
          <w:shd w:val="clear" w:color="auto" w:fill="FFFFFF"/>
          <w:lang w:val="en-US"/>
        </w:rPr>
      </w:pPr>
      <w:r>
        <w:rPr>
          <w:rFonts w:ascii="Times New Roman" w:hAnsi="Times New Roman" w:cs="Times New Roman"/>
          <w:sz w:val="24"/>
          <w:szCs w:val="24"/>
          <w:lang w:val="en-US"/>
        </w:rPr>
        <w:t>T</w:t>
      </w:r>
      <w:r w:rsidRPr="00496F78">
        <w:rPr>
          <w:rFonts w:ascii="Times New Roman" w:hAnsi="Times New Roman" w:cs="Times New Roman"/>
          <w:sz w:val="24"/>
          <w:szCs w:val="24"/>
          <w:lang w:val="en-US"/>
        </w:rPr>
        <w:t xml:space="preserve">wo methods were used in order to </w:t>
      </w:r>
      <w:r w:rsidR="0079359C" w:rsidRPr="00496F78">
        <w:rPr>
          <w:rFonts w:ascii="Times New Roman" w:hAnsi="Times New Roman" w:cs="Times New Roman"/>
          <w:sz w:val="24"/>
          <w:szCs w:val="24"/>
          <w:lang w:val="en-US"/>
        </w:rPr>
        <w:t>validate the content of the measuring instrument; firstly</w:t>
      </w:r>
      <w:r w:rsidRPr="00496F78">
        <w:rPr>
          <w:rFonts w:ascii="Times New Roman" w:hAnsi="Times New Roman" w:cs="Times New Roman"/>
          <w:sz w:val="24"/>
          <w:szCs w:val="24"/>
          <w:lang w:val="en-US"/>
        </w:rPr>
        <w:t>,</w:t>
      </w:r>
      <w:r w:rsidR="0079359C" w:rsidRPr="00496F78">
        <w:rPr>
          <w:rFonts w:ascii="Times New Roman" w:hAnsi="Times New Roman" w:cs="Times New Roman"/>
          <w:sz w:val="24"/>
          <w:szCs w:val="24"/>
          <w:lang w:val="en-US"/>
        </w:rPr>
        <w:t xml:space="preserve"> the theoretical foundation of the items </w:t>
      </w:r>
      <w:r w:rsidRPr="00496F78">
        <w:rPr>
          <w:rFonts w:ascii="Times New Roman" w:hAnsi="Times New Roman" w:cs="Times New Roman"/>
          <w:sz w:val="24"/>
          <w:szCs w:val="24"/>
          <w:lang w:val="en-US"/>
        </w:rPr>
        <w:t xml:space="preserve">was established </w:t>
      </w:r>
      <w:r w:rsidR="0079359C" w:rsidRPr="00496F78">
        <w:rPr>
          <w:rFonts w:ascii="Times New Roman" w:hAnsi="Times New Roman" w:cs="Times New Roman"/>
          <w:sz w:val="24"/>
          <w:szCs w:val="24"/>
          <w:lang w:val="en-US"/>
        </w:rPr>
        <w:t>in the literature (see Annex</w:t>
      </w:r>
      <w:r w:rsidR="001B00B5" w:rsidRPr="00496F78">
        <w:rPr>
          <w:rFonts w:ascii="Times New Roman" w:hAnsi="Times New Roman" w:cs="Times New Roman"/>
          <w:sz w:val="24"/>
          <w:szCs w:val="24"/>
          <w:lang w:val="en-US"/>
        </w:rPr>
        <w:t xml:space="preserve"> I</w:t>
      </w:r>
      <w:r w:rsidR="0079359C" w:rsidRPr="00496F78">
        <w:rPr>
          <w:rFonts w:ascii="Times New Roman" w:hAnsi="Times New Roman" w:cs="Times New Roman"/>
          <w:sz w:val="24"/>
          <w:szCs w:val="24"/>
          <w:lang w:val="en-US"/>
        </w:rPr>
        <w:t>) and</w:t>
      </w:r>
      <w:r w:rsidRPr="00496F78">
        <w:rPr>
          <w:rFonts w:ascii="Times New Roman" w:hAnsi="Times New Roman" w:cs="Times New Roman"/>
          <w:sz w:val="24"/>
          <w:szCs w:val="24"/>
          <w:lang w:val="en-US"/>
        </w:rPr>
        <w:t>, secondly,</w:t>
      </w:r>
      <w:r w:rsidR="0079359C" w:rsidRPr="00496F78">
        <w:rPr>
          <w:rFonts w:ascii="Times New Roman" w:hAnsi="Times New Roman" w:cs="Times New Roman"/>
          <w:sz w:val="24"/>
          <w:szCs w:val="24"/>
          <w:lang w:val="en-US"/>
        </w:rPr>
        <w:t xml:space="preserve"> the opinions of domain experts were </w:t>
      </w:r>
      <w:r w:rsidR="008E6255" w:rsidRPr="00496F78">
        <w:rPr>
          <w:rFonts w:ascii="Times New Roman" w:hAnsi="Times New Roman" w:cs="Times New Roman"/>
          <w:sz w:val="24"/>
          <w:szCs w:val="24"/>
          <w:lang w:val="en-US"/>
        </w:rPr>
        <w:t>in</w:t>
      </w:r>
      <w:r w:rsidRPr="003E64BD">
        <w:rPr>
          <w:rFonts w:ascii="Times New Roman" w:hAnsi="Times New Roman" w:cs="Times New Roman"/>
          <w:sz w:val="24"/>
          <w:szCs w:val="24"/>
          <w:lang w:val="en-US"/>
        </w:rPr>
        <w:t xml:space="preserve">corporated during the questionnaire pre-testing phase </w:t>
      </w:r>
      <w:r w:rsidR="00421EEC" w:rsidRPr="00496F78">
        <w:rPr>
          <w:rFonts w:ascii="Times New Roman" w:hAnsi="Times New Roman" w:cs="Times New Roman"/>
          <w:sz w:val="24"/>
          <w:szCs w:val="24"/>
          <w:lang w:val="en-US"/>
        </w:rPr>
        <w:t>(Malhotra and</w:t>
      </w:r>
      <w:r w:rsidR="008E6255" w:rsidRPr="00496F78">
        <w:rPr>
          <w:rFonts w:ascii="Times New Roman" w:hAnsi="Times New Roman" w:cs="Times New Roman"/>
          <w:sz w:val="24"/>
          <w:szCs w:val="24"/>
          <w:lang w:val="en-US"/>
        </w:rPr>
        <w:t xml:space="preserve"> Grover, 1998)</w:t>
      </w:r>
      <w:r w:rsidRPr="00496F78">
        <w:rPr>
          <w:rFonts w:ascii="Times New Roman" w:hAnsi="Times New Roman" w:cs="Times New Roman"/>
          <w:sz w:val="24"/>
          <w:szCs w:val="24"/>
          <w:lang w:val="en-US"/>
        </w:rPr>
        <w:t>. More particularly, a</w:t>
      </w:r>
      <w:r w:rsidR="00105EEB" w:rsidRPr="003E64BD">
        <w:rPr>
          <w:rFonts w:ascii="Times New Roman" w:hAnsi="Times New Roman" w:cs="Times New Roman"/>
          <w:color w:val="111111"/>
          <w:sz w:val="24"/>
          <w:szCs w:val="24"/>
          <w:shd w:val="clear" w:color="auto" w:fill="FFFFFF"/>
          <w:lang w:val="en-US"/>
        </w:rPr>
        <w:t xml:space="preserve"> pilot study was conducted in order to pre-test the questionnai</w:t>
      </w:r>
      <w:r w:rsidRPr="003E64BD">
        <w:rPr>
          <w:rFonts w:ascii="Times New Roman" w:hAnsi="Times New Roman" w:cs="Times New Roman"/>
          <w:color w:val="111111"/>
          <w:sz w:val="24"/>
          <w:szCs w:val="24"/>
          <w:shd w:val="clear" w:color="auto" w:fill="FFFFFF"/>
          <w:lang w:val="en-US"/>
        </w:rPr>
        <w:t xml:space="preserve">re (Oksenberg et al., 1991). The measuring instrument </w:t>
      </w:r>
      <w:r w:rsidR="00105EEB" w:rsidRPr="003E64BD">
        <w:rPr>
          <w:rFonts w:ascii="Times New Roman" w:hAnsi="Times New Roman" w:cs="Times New Roman"/>
          <w:color w:val="111111"/>
          <w:sz w:val="24"/>
          <w:szCs w:val="24"/>
          <w:shd w:val="clear" w:color="auto" w:fill="FFFFFF"/>
          <w:lang w:val="en-US"/>
        </w:rPr>
        <w:t xml:space="preserve">was sent to three companies </w:t>
      </w:r>
      <w:r w:rsidRPr="003E64BD">
        <w:rPr>
          <w:rFonts w:ascii="Times New Roman" w:hAnsi="Times New Roman" w:cs="Times New Roman"/>
          <w:color w:val="111111"/>
          <w:sz w:val="24"/>
          <w:szCs w:val="24"/>
          <w:shd w:val="clear" w:color="auto" w:fill="FFFFFF"/>
          <w:lang w:val="en-US"/>
        </w:rPr>
        <w:t>that were known to have</w:t>
      </w:r>
      <w:r w:rsidR="00105EEB" w:rsidRPr="003E64BD">
        <w:rPr>
          <w:rFonts w:ascii="Times New Roman" w:hAnsi="Times New Roman" w:cs="Times New Roman"/>
          <w:color w:val="111111"/>
          <w:sz w:val="24"/>
          <w:szCs w:val="24"/>
          <w:shd w:val="clear" w:color="auto" w:fill="FFFFFF"/>
          <w:lang w:val="en-US"/>
        </w:rPr>
        <w:t xml:space="preserve"> multiple management systems fully or partially integrated. The selected managers were expected to be informants rather than respondents. Their comments and suggestions were taken into account to improve the questions (clarity of expression) and the response process (explanation of terms, items, research purpose and expected outcome) and confirm face validity of the survey instrument. Draft version of the questionnaire was also revised by three researchers/experts (Yan et al., 2012). </w:t>
      </w:r>
    </w:p>
    <w:p w:rsidR="00105EEB" w:rsidRDefault="00105EEB" w:rsidP="00C1414A">
      <w:pPr>
        <w:autoSpaceDE w:val="0"/>
        <w:autoSpaceDN w:val="0"/>
        <w:adjustRightInd w:val="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 xml:space="preserve">Survey questionnaire was addressed to the management systems responsible persons and it was administered by university students. Students took part in a training session dedicated to the purpose of the research, the items included and the interaction with the companies. In the cover letter managers were assured about the confidentiality of the submitted information and they were advised to provide their contact details in case they wished for a summary of the survey results. </w:t>
      </w:r>
    </w:p>
    <w:p w:rsidR="00C1414A" w:rsidRPr="008751F4" w:rsidRDefault="00C1414A" w:rsidP="00C1414A">
      <w:pPr>
        <w:autoSpaceDE w:val="0"/>
        <w:autoSpaceDN w:val="0"/>
        <w:adjustRightInd w:val="0"/>
        <w:ind w:firstLine="288"/>
        <w:jc w:val="both"/>
        <w:rPr>
          <w:rFonts w:ascii="Times New Roman" w:hAnsi="Times New Roman" w:cs="Times New Roman"/>
          <w:sz w:val="24"/>
          <w:szCs w:val="24"/>
          <w:lang w:val="en-US"/>
        </w:rPr>
      </w:pPr>
    </w:p>
    <w:p w:rsidR="00B3686D" w:rsidRPr="008751F4" w:rsidRDefault="00B3686D" w:rsidP="00C1414A">
      <w:pPr>
        <w:autoSpaceDE w:val="0"/>
        <w:autoSpaceDN w:val="0"/>
        <w:adjustRightInd w:val="0"/>
        <w:rPr>
          <w:rFonts w:ascii="Times New Roman" w:hAnsi="Times New Roman" w:cs="Times New Roman"/>
          <w:i/>
          <w:sz w:val="24"/>
          <w:szCs w:val="24"/>
          <w:lang w:val="en-US"/>
        </w:rPr>
      </w:pPr>
      <w:r w:rsidRPr="008751F4">
        <w:rPr>
          <w:rFonts w:ascii="Times New Roman" w:hAnsi="Times New Roman" w:cs="Times New Roman"/>
          <w:i/>
          <w:sz w:val="24"/>
          <w:szCs w:val="24"/>
          <w:lang w:val="en-US"/>
        </w:rPr>
        <w:t>Common method bias</w:t>
      </w:r>
    </w:p>
    <w:p w:rsidR="00B3686D" w:rsidRDefault="00B3686D" w:rsidP="00C1414A">
      <w:pPr>
        <w:shd w:val="clear" w:color="auto" w:fill="FFFFFF"/>
        <w:ind w:firstLine="288"/>
        <w:jc w:val="both"/>
        <w:rPr>
          <w:rFonts w:ascii="Times New Roman" w:eastAsia="Times New Roman" w:hAnsi="Times New Roman" w:cs="Times New Roman"/>
          <w:color w:val="111111"/>
          <w:sz w:val="24"/>
          <w:szCs w:val="24"/>
          <w:lang w:val="en-US" w:eastAsia="el-GR"/>
        </w:rPr>
      </w:pPr>
      <w:r w:rsidRPr="008751F4">
        <w:rPr>
          <w:rFonts w:ascii="Times New Roman" w:eastAsia="Times New Roman" w:hAnsi="Times New Roman" w:cs="Times New Roman"/>
          <w:color w:val="111111"/>
          <w:sz w:val="24"/>
          <w:szCs w:val="24"/>
          <w:lang w:val="en-US" w:eastAsia="el-GR"/>
        </w:rPr>
        <w:t xml:space="preserve">Common method bias may arise when variations in responses are caused by the instrument rather than the actual predispositions of the respondents that the instrument attempts to uncover. In other words, the instrument introduces a bias, hence variances, that might contaminate results by the 'noise' stemming from the biased instrument. </w:t>
      </w:r>
      <w:r w:rsidRPr="008751F4">
        <w:rPr>
          <w:rFonts w:ascii="Times New Roman" w:hAnsi="Times New Roman" w:cs="Times New Roman"/>
          <w:sz w:val="24"/>
          <w:szCs w:val="24"/>
          <w:lang w:val="en-US"/>
        </w:rPr>
        <w:t xml:space="preserve">Common method bias may arise by a common rater, a common measurement context, a common item context, </w:t>
      </w:r>
      <w:r w:rsidRPr="008751F4">
        <w:rPr>
          <w:rFonts w:ascii="Times New Roman" w:hAnsi="Times New Roman" w:cs="Times New Roman"/>
          <w:sz w:val="24"/>
          <w:szCs w:val="24"/>
          <w:lang w:val="en-US"/>
        </w:rPr>
        <w:lastRenderedPageBreak/>
        <w:t>or from the characteristics of the items themselves. Obviously, in any given study, it is possible for several of these factors to be operative. Therefore, it is important to carefully evaluate the cond</w:t>
      </w:r>
      <w:r w:rsidR="00733823">
        <w:rPr>
          <w:rFonts w:ascii="Times New Roman" w:hAnsi="Times New Roman" w:cs="Times New Roman"/>
          <w:sz w:val="24"/>
          <w:szCs w:val="24"/>
          <w:lang w:val="en-US"/>
        </w:rPr>
        <w:t xml:space="preserve">itions under which data is </w:t>
      </w:r>
      <w:r w:rsidRPr="008751F4">
        <w:rPr>
          <w:rFonts w:ascii="Times New Roman" w:hAnsi="Times New Roman" w:cs="Times New Roman"/>
          <w:sz w:val="24"/>
          <w:szCs w:val="24"/>
          <w:lang w:val="en-US"/>
        </w:rPr>
        <w:t>obtained</w:t>
      </w:r>
      <w:r w:rsidR="00733823">
        <w:rPr>
          <w:rFonts w:ascii="Times New Roman" w:hAnsi="Times New Roman" w:cs="Times New Roman"/>
          <w:sz w:val="24"/>
          <w:szCs w:val="24"/>
          <w:lang w:val="en-US"/>
        </w:rPr>
        <w:t xml:space="preserve"> in order</w:t>
      </w:r>
      <w:r w:rsidRPr="008751F4">
        <w:rPr>
          <w:rFonts w:ascii="Times New Roman" w:hAnsi="Times New Roman" w:cs="Times New Roman"/>
          <w:sz w:val="24"/>
          <w:szCs w:val="24"/>
          <w:lang w:val="en-US"/>
        </w:rPr>
        <w:t xml:space="preserve"> to assess t</w:t>
      </w:r>
      <w:r w:rsidR="00733823">
        <w:rPr>
          <w:rFonts w:ascii="Times New Roman" w:hAnsi="Times New Roman" w:cs="Times New Roman"/>
          <w:sz w:val="24"/>
          <w:szCs w:val="24"/>
          <w:lang w:val="en-US"/>
        </w:rPr>
        <w:t>he extent to which method bias may be a problem. Method bias</w:t>
      </w:r>
      <w:r w:rsidRPr="008751F4">
        <w:rPr>
          <w:rFonts w:ascii="Times New Roman" w:hAnsi="Times New Roman" w:cs="Times New Roman"/>
          <w:sz w:val="24"/>
          <w:szCs w:val="24"/>
          <w:lang w:val="en-US"/>
        </w:rPr>
        <w:t xml:space="preserve"> </w:t>
      </w:r>
      <w:r w:rsidR="00733823">
        <w:rPr>
          <w:rFonts w:ascii="Times New Roman" w:hAnsi="Times New Roman" w:cs="Times New Roman"/>
          <w:sz w:val="24"/>
          <w:szCs w:val="24"/>
          <w:lang w:val="en-US"/>
        </w:rPr>
        <w:t>is of higher importance in studies in which</w:t>
      </w:r>
      <w:r w:rsidRPr="008751F4">
        <w:rPr>
          <w:rFonts w:ascii="Times New Roman" w:hAnsi="Times New Roman" w:cs="Times New Roman"/>
          <w:sz w:val="24"/>
          <w:szCs w:val="24"/>
          <w:lang w:val="en-US"/>
        </w:rPr>
        <w:t xml:space="preserve"> data for both the predictor and criterion variable </w:t>
      </w:r>
      <w:r w:rsidR="00733823">
        <w:rPr>
          <w:rFonts w:ascii="Times New Roman" w:hAnsi="Times New Roman" w:cs="Times New Roman"/>
          <w:sz w:val="24"/>
          <w:szCs w:val="24"/>
          <w:lang w:val="en-US"/>
        </w:rPr>
        <w:t>is</w:t>
      </w:r>
      <w:r w:rsidRPr="008751F4">
        <w:rPr>
          <w:rFonts w:ascii="Times New Roman" w:hAnsi="Times New Roman" w:cs="Times New Roman"/>
          <w:sz w:val="24"/>
          <w:szCs w:val="24"/>
          <w:lang w:val="en-US"/>
        </w:rPr>
        <w:t xml:space="preserve"> obtained from the same person in the same measurement context using the same item context and similar item characteristics. These conditions are often present in behavioral research. </w:t>
      </w:r>
      <w:r w:rsidRPr="008751F4">
        <w:rPr>
          <w:rFonts w:ascii="Times New Roman" w:eastAsia="Times New Roman" w:hAnsi="Times New Roman" w:cs="Times New Roman"/>
          <w:color w:val="111111"/>
          <w:sz w:val="24"/>
          <w:szCs w:val="24"/>
          <w:lang w:val="en-US" w:eastAsia="el-GR"/>
        </w:rPr>
        <w:t>Most often, Harman's single factor test of bias is applied (</w:t>
      </w:r>
      <w:r w:rsidR="00421EEC">
        <w:rPr>
          <w:rFonts w:ascii="Times New Roman" w:eastAsia="Times New Roman" w:hAnsi="Times New Roman" w:cs="Times New Roman"/>
          <w:color w:val="111111"/>
          <w:sz w:val="24"/>
          <w:szCs w:val="24"/>
          <w:lang w:val="en-US" w:eastAsia="el-GR"/>
        </w:rPr>
        <w:t>Podsakoff and</w:t>
      </w:r>
      <w:r>
        <w:rPr>
          <w:rFonts w:ascii="Times New Roman" w:eastAsia="Times New Roman" w:hAnsi="Times New Roman" w:cs="Times New Roman"/>
          <w:color w:val="111111"/>
          <w:sz w:val="24"/>
          <w:szCs w:val="24"/>
          <w:lang w:val="en-US" w:eastAsia="el-GR"/>
        </w:rPr>
        <w:t xml:space="preserve"> Organ, 1986; </w:t>
      </w:r>
      <w:r w:rsidRPr="008751F4">
        <w:rPr>
          <w:rFonts w:ascii="Times New Roman" w:hAnsi="Times New Roman" w:cs="Times New Roman"/>
          <w:sz w:val="24"/>
          <w:szCs w:val="24"/>
          <w:lang w:val="en-US"/>
        </w:rPr>
        <w:t>Podsakoff et al., 2003)</w:t>
      </w:r>
      <w:r w:rsidRPr="008751F4">
        <w:rPr>
          <w:rFonts w:ascii="Times New Roman" w:eastAsia="Times New Roman" w:hAnsi="Times New Roman" w:cs="Times New Roman"/>
          <w:color w:val="111111"/>
          <w:sz w:val="24"/>
          <w:szCs w:val="24"/>
          <w:lang w:val="en-US" w:eastAsia="el-GR"/>
        </w:rPr>
        <w:t>. Items are all loaded into one common factor. Unless total variance for a single factor exceeds 50%, common method bias is not an issue.</w:t>
      </w:r>
    </w:p>
    <w:p w:rsidR="00B3686D" w:rsidRDefault="00B3686D" w:rsidP="009F6B86">
      <w:pPr>
        <w:autoSpaceDE w:val="0"/>
        <w:autoSpaceDN w:val="0"/>
        <w:adjustRightInd w:val="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 xml:space="preserve">In this survey </w:t>
      </w:r>
      <w:r w:rsidR="00733823">
        <w:rPr>
          <w:rFonts w:ascii="Times New Roman" w:hAnsi="Times New Roman" w:cs="Times New Roman"/>
          <w:sz w:val="24"/>
          <w:szCs w:val="24"/>
          <w:lang w:val="en-US"/>
        </w:rPr>
        <w:t xml:space="preserve">the </w:t>
      </w:r>
      <w:r w:rsidRPr="008751F4">
        <w:rPr>
          <w:rFonts w:ascii="Times New Roman" w:hAnsi="Times New Roman" w:cs="Times New Roman"/>
          <w:sz w:val="24"/>
          <w:szCs w:val="24"/>
          <w:lang w:val="en-US"/>
        </w:rPr>
        <w:t xml:space="preserve">questionnaire was administered to the management system managers. In most </w:t>
      </w:r>
      <w:r w:rsidR="00733823">
        <w:rPr>
          <w:rFonts w:ascii="Times New Roman" w:hAnsi="Times New Roman" w:cs="Times New Roman"/>
          <w:sz w:val="24"/>
          <w:szCs w:val="24"/>
          <w:lang w:val="en-US"/>
        </w:rPr>
        <w:t xml:space="preserve">of the </w:t>
      </w:r>
      <w:r w:rsidRPr="008751F4">
        <w:rPr>
          <w:rFonts w:ascii="Times New Roman" w:hAnsi="Times New Roman" w:cs="Times New Roman"/>
          <w:sz w:val="24"/>
          <w:szCs w:val="24"/>
          <w:lang w:val="en-US"/>
        </w:rPr>
        <w:t>participa</w:t>
      </w:r>
      <w:r w:rsidR="00733823">
        <w:rPr>
          <w:rFonts w:ascii="Times New Roman" w:hAnsi="Times New Roman" w:cs="Times New Roman"/>
          <w:sz w:val="24"/>
          <w:szCs w:val="24"/>
          <w:lang w:val="en-US"/>
        </w:rPr>
        <w:t>ting companies the same person i</w:t>
      </w:r>
      <w:r w:rsidRPr="008751F4">
        <w:rPr>
          <w:rFonts w:ascii="Times New Roman" w:hAnsi="Times New Roman" w:cs="Times New Roman"/>
          <w:sz w:val="24"/>
          <w:szCs w:val="24"/>
          <w:lang w:val="en-US"/>
        </w:rPr>
        <w:t xml:space="preserve">s assigned the monitoring of all management systems and, hence, there is a single respondent for each company. In the remaining companies of the sample - where more than one person is responsible for more than one management systems – again the questionnaire is to be filled once since the questions address all management systems concurrently. Thus, since a single questionnaire was completed by each participating company, common method variance is of concern. Harman’s single factor test is used for testing common method bias. </w:t>
      </w:r>
      <w:r w:rsidRPr="008751F4">
        <w:rPr>
          <w:rFonts w:ascii="Times New Roman" w:hAnsi="Times New Roman" w:cs="Times New Roman"/>
          <w:color w:val="000000"/>
          <w:sz w:val="24"/>
          <w:szCs w:val="24"/>
          <w:lang w:val="en-US"/>
        </w:rPr>
        <w:t xml:space="preserve">When testing </w:t>
      </w:r>
      <w:r w:rsidRPr="008751F4">
        <w:rPr>
          <w:rFonts w:ascii="Times New Roman" w:hAnsi="Times New Roman" w:cs="Times New Roman"/>
          <w:sz w:val="24"/>
          <w:szCs w:val="24"/>
          <w:lang w:val="en-US"/>
        </w:rPr>
        <w:t>internalization</w:t>
      </w:r>
      <w:r w:rsidRPr="008751F4">
        <w:rPr>
          <w:rFonts w:ascii="Times New Roman" w:hAnsi="Times New Roman" w:cs="Times New Roman"/>
          <w:color w:val="000000"/>
          <w:sz w:val="24"/>
          <w:szCs w:val="24"/>
          <w:lang w:val="en-US"/>
        </w:rPr>
        <w:t xml:space="preserve"> for </w:t>
      </w:r>
      <w:r w:rsidRPr="008751F4">
        <w:rPr>
          <w:rFonts w:ascii="Times New Roman" w:hAnsi="Times New Roman" w:cs="Times New Roman"/>
          <w:sz w:val="24"/>
          <w:szCs w:val="24"/>
          <w:lang w:val="en-US"/>
        </w:rPr>
        <w:t>common method variance (performing Harman’s test), i.e. l</w:t>
      </w:r>
      <w:r w:rsidRPr="008751F4">
        <w:rPr>
          <w:rFonts w:ascii="Times New Roman" w:hAnsi="Times New Roman" w:cs="Times New Roman"/>
          <w:color w:val="000000"/>
          <w:sz w:val="24"/>
          <w:szCs w:val="24"/>
          <w:lang w:val="en-US"/>
        </w:rPr>
        <w:t>oading all items on a single factor, total variance explained is 30.602%, a value quite lower than 50% assuring absence of common method bias.</w:t>
      </w:r>
      <w:r>
        <w:rPr>
          <w:rFonts w:ascii="Times New Roman" w:hAnsi="Times New Roman" w:cs="Times New Roman"/>
          <w:color w:val="000000"/>
          <w:sz w:val="24"/>
          <w:szCs w:val="24"/>
          <w:lang w:val="en-US"/>
        </w:rPr>
        <w:t xml:space="preserve"> </w:t>
      </w:r>
      <w:r w:rsidRPr="008751F4">
        <w:rPr>
          <w:rFonts w:ascii="Times New Roman" w:hAnsi="Times New Roman" w:cs="Times New Roman"/>
          <w:sz w:val="24"/>
          <w:szCs w:val="24"/>
          <w:lang w:val="en-US"/>
        </w:rPr>
        <w:t xml:space="preserve">Similarly, when testing corporate sustainability performance for common method variance (performing Harman’s test), i.e. loading all items on a single factor, total variance explained is 33.067%, which is far less than 50% safely leading to the conclusion that there is not any </w:t>
      </w:r>
      <w:r w:rsidR="00D15C63">
        <w:rPr>
          <w:rFonts w:ascii="Times New Roman" w:hAnsi="Times New Roman" w:cs="Times New Roman"/>
          <w:sz w:val="24"/>
          <w:szCs w:val="24"/>
          <w:lang w:val="en-US"/>
        </w:rPr>
        <w:t>concern for common method bias.</w:t>
      </w:r>
    </w:p>
    <w:p w:rsidR="00C1414A" w:rsidRDefault="00C1414A" w:rsidP="009F6B86">
      <w:pPr>
        <w:autoSpaceDE w:val="0"/>
        <w:autoSpaceDN w:val="0"/>
        <w:adjustRightInd w:val="0"/>
        <w:ind w:firstLine="288"/>
        <w:jc w:val="both"/>
        <w:rPr>
          <w:rFonts w:ascii="Times New Roman" w:hAnsi="Times New Roman" w:cs="Times New Roman"/>
          <w:sz w:val="24"/>
          <w:szCs w:val="24"/>
          <w:lang w:val="en-US"/>
        </w:rPr>
      </w:pPr>
    </w:p>
    <w:p w:rsidR="00105EEB" w:rsidRDefault="00105EEB" w:rsidP="009F6B86">
      <w:pPr>
        <w:pStyle w:val="Paragraphedeliste"/>
        <w:numPr>
          <w:ilvl w:val="0"/>
          <w:numId w:val="1"/>
        </w:numPr>
        <w:spacing w:after="0" w:line="240" w:lineRule="auto"/>
        <w:ind w:left="284" w:hanging="284"/>
        <w:rPr>
          <w:rFonts w:ascii="Times New Roman" w:hAnsi="Times New Roman"/>
          <w:b/>
          <w:sz w:val="24"/>
          <w:szCs w:val="24"/>
          <w:lang w:val="en-US"/>
        </w:rPr>
      </w:pPr>
      <w:r w:rsidRPr="008751F4">
        <w:rPr>
          <w:rFonts w:ascii="Times New Roman" w:hAnsi="Times New Roman"/>
          <w:b/>
          <w:sz w:val="24"/>
          <w:szCs w:val="24"/>
          <w:lang w:val="en-US"/>
        </w:rPr>
        <w:t>Results</w:t>
      </w:r>
    </w:p>
    <w:p w:rsidR="00C1414A" w:rsidRPr="009F6B86" w:rsidRDefault="00C1414A" w:rsidP="009F6B86">
      <w:pPr>
        <w:pStyle w:val="Paragraphedeliste"/>
        <w:spacing w:after="0" w:line="240" w:lineRule="auto"/>
        <w:ind w:left="284"/>
        <w:rPr>
          <w:rFonts w:ascii="Times New Roman" w:hAnsi="Times New Roman"/>
          <w:sz w:val="24"/>
          <w:szCs w:val="24"/>
          <w:lang w:val="en-US"/>
        </w:rPr>
      </w:pPr>
    </w:p>
    <w:p w:rsidR="00AA374A" w:rsidRPr="00AA374A" w:rsidRDefault="000502B5" w:rsidP="009F6B86">
      <w:pPr>
        <w:autoSpaceDE w:val="0"/>
        <w:autoSpaceDN w:val="0"/>
        <w:adjustRightInd w:val="0"/>
        <w:ind w:firstLine="288"/>
        <w:jc w:val="both"/>
        <w:rPr>
          <w:rFonts w:ascii="Times New Roman" w:hAnsi="Times New Roman" w:cs="Times New Roman"/>
          <w:sz w:val="24"/>
          <w:szCs w:val="24"/>
          <w:lang w:val="en-US"/>
        </w:rPr>
      </w:pPr>
      <w:r>
        <w:rPr>
          <w:rFonts w:ascii="Times New Roman" w:hAnsi="Times New Roman"/>
          <w:sz w:val="24"/>
          <w:szCs w:val="24"/>
          <w:lang w:val="en-US"/>
        </w:rPr>
        <w:t>The</w:t>
      </w:r>
      <w:r w:rsidR="007B459D" w:rsidRPr="007B459D">
        <w:rPr>
          <w:rFonts w:ascii="Times New Roman" w:hAnsi="Times New Roman"/>
          <w:sz w:val="24"/>
          <w:szCs w:val="24"/>
          <w:lang w:val="en-US"/>
        </w:rPr>
        <w:t xml:space="preserve"> questionnaire has been administered to Greek organizations </w:t>
      </w:r>
      <w:r>
        <w:rPr>
          <w:rFonts w:ascii="Times New Roman" w:hAnsi="Times New Roman"/>
          <w:sz w:val="24"/>
          <w:szCs w:val="24"/>
          <w:lang w:val="en-US"/>
        </w:rPr>
        <w:t>of different</w:t>
      </w:r>
      <w:r w:rsidR="007B459D" w:rsidRPr="007B459D">
        <w:rPr>
          <w:rFonts w:ascii="Times New Roman" w:hAnsi="Times New Roman"/>
          <w:sz w:val="24"/>
          <w:szCs w:val="24"/>
          <w:lang w:val="en-US"/>
        </w:rPr>
        <w:t xml:space="preserve"> </w:t>
      </w:r>
      <w:r>
        <w:rPr>
          <w:rFonts w:ascii="Times New Roman" w:hAnsi="Times New Roman"/>
          <w:sz w:val="24"/>
          <w:szCs w:val="24"/>
          <w:lang w:val="en-US"/>
        </w:rPr>
        <w:t>activities</w:t>
      </w:r>
      <w:r w:rsidR="007B459D" w:rsidRPr="007B459D">
        <w:rPr>
          <w:rFonts w:ascii="Times New Roman" w:hAnsi="Times New Roman"/>
          <w:sz w:val="24"/>
          <w:szCs w:val="24"/>
          <w:lang w:val="en-US"/>
        </w:rPr>
        <w:t>, size</w:t>
      </w:r>
      <w:r>
        <w:rPr>
          <w:rFonts w:ascii="Times New Roman" w:hAnsi="Times New Roman"/>
          <w:sz w:val="24"/>
          <w:szCs w:val="24"/>
          <w:lang w:val="en-US"/>
        </w:rPr>
        <w:t>s</w:t>
      </w:r>
      <w:r w:rsidR="007B459D" w:rsidRPr="007B459D">
        <w:rPr>
          <w:rFonts w:ascii="Times New Roman" w:hAnsi="Times New Roman"/>
          <w:sz w:val="24"/>
          <w:szCs w:val="24"/>
          <w:lang w:val="en-US"/>
        </w:rPr>
        <w:t xml:space="preserve"> or location</w:t>
      </w:r>
      <w:r>
        <w:rPr>
          <w:rFonts w:ascii="Times New Roman" w:hAnsi="Times New Roman"/>
          <w:sz w:val="24"/>
          <w:szCs w:val="24"/>
          <w:lang w:val="en-US"/>
        </w:rPr>
        <w:t>s</w:t>
      </w:r>
      <w:r w:rsidR="007B459D" w:rsidRPr="007B459D">
        <w:rPr>
          <w:rFonts w:ascii="Times New Roman" w:hAnsi="Times New Roman"/>
          <w:sz w:val="24"/>
          <w:szCs w:val="24"/>
          <w:lang w:val="en-US"/>
        </w:rPr>
        <w:t xml:space="preserve">. The </w:t>
      </w:r>
      <w:r>
        <w:rPr>
          <w:rFonts w:ascii="Times New Roman" w:hAnsi="Times New Roman"/>
          <w:sz w:val="24"/>
          <w:szCs w:val="24"/>
          <w:lang w:val="en-US"/>
        </w:rPr>
        <w:t>requirement</w:t>
      </w:r>
      <w:r w:rsidR="007B459D" w:rsidRPr="007B459D">
        <w:rPr>
          <w:rFonts w:ascii="Times New Roman" w:hAnsi="Times New Roman"/>
          <w:sz w:val="24"/>
          <w:szCs w:val="24"/>
          <w:lang w:val="en-US"/>
        </w:rPr>
        <w:t>s for the firms to participate in the survey were to be certified at least to two standards, i.e. ISO 9001 and ISO 14001 certified or ISO 14001 and OHSAS 18001 or any other combination of standards. Data banks of Hellastat and certification bodies were used to draw an initial sample of 787 companies. Responses have been collected in two stages: the first starting from November 2016 and ending in February 2017 and the second starting from March 2017 and ending in June 2017. By the end of the field survey there were collected 280 completed questionnaires correspondi</w:t>
      </w:r>
      <w:r w:rsidR="00C1414A">
        <w:rPr>
          <w:rFonts w:ascii="Times New Roman" w:hAnsi="Times New Roman"/>
          <w:sz w:val="24"/>
          <w:szCs w:val="24"/>
          <w:lang w:val="en-US"/>
        </w:rPr>
        <w:t>ng to a response rate of 36.5%.</w:t>
      </w:r>
    </w:p>
    <w:p w:rsidR="00B3686D" w:rsidRDefault="00B3686D" w:rsidP="00C1414A">
      <w:pPr>
        <w:autoSpaceDE w:val="0"/>
        <w:autoSpaceDN w:val="0"/>
        <w:adjustRightInd w:val="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Statistical processing of data and factor analysis were performed using IBM SPSS Statistics Version 21.0.</w:t>
      </w:r>
      <w:r w:rsidR="007B459D">
        <w:rPr>
          <w:rFonts w:ascii="Times New Roman" w:hAnsi="Times New Roman" w:cs="Times New Roman"/>
          <w:sz w:val="24"/>
          <w:szCs w:val="24"/>
          <w:lang w:val="en-US"/>
        </w:rPr>
        <w:t xml:space="preserve"> </w:t>
      </w:r>
      <w:r w:rsidR="007B459D" w:rsidRPr="008751F4">
        <w:rPr>
          <w:rFonts w:ascii="Times New Roman" w:hAnsi="Times New Roman" w:cs="Times New Roman"/>
          <w:sz w:val="24"/>
          <w:szCs w:val="24"/>
          <w:lang w:val="en-US"/>
        </w:rPr>
        <w:t>The extraction method used for the exploratory factor analysis was Principal Component Analysis.</w:t>
      </w:r>
    </w:p>
    <w:p w:rsidR="00C1414A" w:rsidRPr="007B459D" w:rsidRDefault="00C1414A" w:rsidP="00C1414A">
      <w:pPr>
        <w:autoSpaceDE w:val="0"/>
        <w:autoSpaceDN w:val="0"/>
        <w:adjustRightInd w:val="0"/>
        <w:ind w:firstLine="288"/>
        <w:jc w:val="both"/>
        <w:rPr>
          <w:rFonts w:ascii="Times New Roman" w:hAnsi="Times New Roman" w:cs="Times New Roman"/>
          <w:sz w:val="24"/>
          <w:szCs w:val="24"/>
          <w:lang w:val="en-US"/>
        </w:rPr>
      </w:pPr>
    </w:p>
    <w:p w:rsidR="00105EEB" w:rsidRPr="008751F4" w:rsidRDefault="00105EEB" w:rsidP="00C1414A">
      <w:pPr>
        <w:autoSpaceDE w:val="0"/>
        <w:autoSpaceDN w:val="0"/>
        <w:adjustRightInd w:val="0"/>
        <w:rPr>
          <w:rFonts w:ascii="Times New Roman" w:hAnsi="Times New Roman" w:cs="Times New Roman"/>
          <w:i/>
          <w:sz w:val="24"/>
          <w:szCs w:val="24"/>
          <w:lang w:val="en-US"/>
        </w:rPr>
      </w:pPr>
      <w:r w:rsidRPr="008751F4">
        <w:rPr>
          <w:rFonts w:ascii="Times New Roman" w:hAnsi="Times New Roman" w:cs="Times New Roman"/>
          <w:i/>
          <w:sz w:val="24"/>
          <w:szCs w:val="24"/>
          <w:lang w:val="en-US"/>
        </w:rPr>
        <w:t>Data testing</w:t>
      </w:r>
    </w:p>
    <w:p w:rsidR="00105EEB" w:rsidRPr="00BF3830" w:rsidRDefault="00105EEB" w:rsidP="00C1414A">
      <w:pPr>
        <w:autoSpaceDE w:val="0"/>
        <w:autoSpaceDN w:val="0"/>
        <w:adjustRightInd w:val="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shd w:val="clear" w:color="auto" w:fill="FFFFFF"/>
          <w:lang w:val="en-US"/>
        </w:rPr>
        <w:t xml:space="preserve">Non-response bias refers to </w:t>
      </w:r>
      <w:r w:rsidRPr="00BF3830">
        <w:rPr>
          <w:rFonts w:ascii="Times New Roman" w:hAnsi="Times New Roman" w:cs="Times New Roman"/>
          <w:sz w:val="24"/>
          <w:szCs w:val="24"/>
          <w:shd w:val="clear" w:color="auto" w:fill="FFFFFF"/>
          <w:lang w:val="en-US"/>
        </w:rPr>
        <w:t>failure of estimating a population behavioral feature based on a sample of survey data in which certain types of survey respondents are under-represented. In this case, t</w:t>
      </w:r>
      <w:r w:rsidRPr="00BF3830">
        <w:rPr>
          <w:rFonts w:ascii="Times New Roman" w:hAnsi="Times New Roman" w:cs="Times New Roman"/>
          <w:sz w:val="24"/>
          <w:szCs w:val="24"/>
          <w:lang w:val="en-US"/>
        </w:rPr>
        <w:t>o test any effects by non-respondents, late vs early responses are t-tested</w:t>
      </w:r>
      <w:r w:rsidR="00BF3830" w:rsidRPr="00BF3830">
        <w:rPr>
          <w:rFonts w:ascii="Times New Roman" w:hAnsi="Times New Roman" w:cs="Times New Roman"/>
          <w:sz w:val="24"/>
          <w:szCs w:val="24"/>
          <w:lang w:val="en-US"/>
        </w:rPr>
        <w:t>, based on the assumption that</w:t>
      </w:r>
      <w:r w:rsidRPr="00BF3830">
        <w:rPr>
          <w:rFonts w:ascii="Times New Roman" w:hAnsi="Times New Roman" w:cs="Times New Roman"/>
          <w:sz w:val="24"/>
          <w:szCs w:val="24"/>
          <w:lang w:val="en-US"/>
        </w:rPr>
        <w:t xml:space="preserve"> </w:t>
      </w:r>
      <w:r w:rsidR="00BF3830" w:rsidRPr="00496F78">
        <w:rPr>
          <w:rFonts w:ascii="Times New Roman" w:hAnsi="Times New Roman" w:cs="Times New Roman"/>
          <w:sz w:val="24"/>
          <w:szCs w:val="24"/>
          <w:lang w:val="en-US"/>
        </w:rPr>
        <w:t xml:space="preserve">the opinions of late respondents are representative of the opinions of the theoretical non-respondents </w:t>
      </w:r>
      <w:r w:rsidR="00421EEC">
        <w:rPr>
          <w:rFonts w:ascii="Times New Roman" w:hAnsi="Times New Roman" w:cs="Times New Roman"/>
          <w:sz w:val="24"/>
          <w:szCs w:val="24"/>
          <w:lang w:val="en-US"/>
        </w:rPr>
        <w:t>(Armstrong and</w:t>
      </w:r>
      <w:r w:rsidR="00BF3830" w:rsidRPr="00BF3830">
        <w:rPr>
          <w:rFonts w:ascii="Times New Roman" w:hAnsi="Times New Roman" w:cs="Times New Roman"/>
          <w:sz w:val="24"/>
          <w:szCs w:val="24"/>
          <w:lang w:val="en-US"/>
        </w:rPr>
        <w:t xml:space="preserve"> Overton, 1977)</w:t>
      </w:r>
      <w:r w:rsidR="00BF3830" w:rsidRPr="00496F78">
        <w:rPr>
          <w:rFonts w:ascii="Times New Roman" w:hAnsi="Times New Roman" w:cs="Times New Roman"/>
          <w:sz w:val="24"/>
          <w:szCs w:val="24"/>
          <w:lang w:val="en-US"/>
        </w:rPr>
        <w:t xml:space="preserve"> </w:t>
      </w:r>
      <w:r w:rsidRPr="00BF3830">
        <w:rPr>
          <w:rFonts w:ascii="Times New Roman" w:hAnsi="Times New Roman" w:cs="Times New Roman"/>
          <w:sz w:val="24"/>
          <w:szCs w:val="24"/>
          <w:lang w:val="en-US"/>
        </w:rPr>
        <w:t>and no s</w:t>
      </w:r>
      <w:r w:rsidR="00BF3830" w:rsidRPr="00BF3830">
        <w:rPr>
          <w:rFonts w:ascii="Times New Roman" w:hAnsi="Times New Roman" w:cs="Times New Roman"/>
          <w:sz w:val="24"/>
          <w:szCs w:val="24"/>
          <w:lang w:val="en-US"/>
        </w:rPr>
        <w:t>ignificant differences are found.</w:t>
      </w:r>
      <w:r w:rsidRPr="00BF3830">
        <w:rPr>
          <w:rFonts w:ascii="Times New Roman" w:hAnsi="Times New Roman" w:cs="Times New Roman"/>
          <w:sz w:val="24"/>
          <w:szCs w:val="24"/>
          <w:lang w:val="en-US"/>
        </w:rPr>
        <w:t xml:space="preserve"> </w:t>
      </w:r>
    </w:p>
    <w:p w:rsidR="001E748D" w:rsidRDefault="00FB63E2" w:rsidP="009F6B86">
      <w:pPr>
        <w:autoSpaceDE w:val="0"/>
        <w:autoSpaceDN w:val="0"/>
        <w:adjustRightInd w:val="0"/>
        <w:ind w:firstLine="288"/>
        <w:jc w:val="both"/>
        <w:rPr>
          <w:rFonts w:ascii="Times New Roman" w:hAnsi="Times New Roman" w:cs="Times New Roman"/>
          <w:sz w:val="24"/>
          <w:szCs w:val="24"/>
          <w:lang w:val="en-US"/>
        </w:rPr>
      </w:pPr>
      <w:r w:rsidRPr="005C43D5">
        <w:rPr>
          <w:rFonts w:ascii="Times New Roman" w:hAnsi="Times New Roman" w:cs="Times New Roman"/>
          <w:sz w:val="24"/>
          <w:szCs w:val="24"/>
          <w:lang w:val="en-US"/>
        </w:rPr>
        <w:lastRenderedPageBreak/>
        <w:t xml:space="preserve">The </w:t>
      </w:r>
      <w:r w:rsidRPr="005C43D5">
        <w:rPr>
          <w:rFonts w:ascii="Times New Roman" w:hAnsi="Times New Roman" w:cs="Times New Roman"/>
          <w:bCs/>
          <w:sz w:val="24"/>
          <w:szCs w:val="24"/>
          <w:lang w:val="en-US"/>
        </w:rPr>
        <w:t>Bartlett test of sphericity</w:t>
      </w:r>
      <w:r w:rsidRPr="005C43D5">
        <w:rPr>
          <w:rFonts w:ascii="Times New Roman" w:hAnsi="Times New Roman" w:cs="Times New Roman"/>
          <w:sz w:val="24"/>
          <w:szCs w:val="24"/>
          <w:lang w:val="en-US"/>
        </w:rPr>
        <w:t xml:space="preserve"> is a statistical test for the presence of correlations among the variables. A statistically significant Bartlett’s test of sphericity (sig. &lt; .05) indicates that sufficient correlations exist among the variables to proceed.</w:t>
      </w:r>
      <w:r w:rsidR="009F6B86">
        <w:rPr>
          <w:rFonts w:ascii="Times New Roman" w:hAnsi="Times New Roman" w:cs="Times New Roman"/>
          <w:sz w:val="24"/>
          <w:szCs w:val="24"/>
          <w:lang w:val="en-US"/>
        </w:rPr>
        <w:t xml:space="preserve"> </w:t>
      </w:r>
      <w:r w:rsidRPr="005C43D5">
        <w:rPr>
          <w:rFonts w:ascii="Times New Roman" w:hAnsi="Times New Roman" w:cs="Times New Roman"/>
          <w:sz w:val="24"/>
          <w:szCs w:val="24"/>
          <w:lang w:val="en-US"/>
        </w:rPr>
        <w:t xml:space="preserve">The </w:t>
      </w:r>
      <w:r w:rsidRPr="005C43D5">
        <w:rPr>
          <w:rFonts w:ascii="Times New Roman" w:hAnsi="Times New Roman" w:cs="Times New Roman"/>
          <w:bCs/>
          <w:sz w:val="24"/>
          <w:szCs w:val="24"/>
          <w:lang w:val="en-US"/>
        </w:rPr>
        <w:t xml:space="preserve">measure of sampling adequacy </w:t>
      </w:r>
      <w:r w:rsidRPr="005C43D5">
        <w:rPr>
          <w:rFonts w:ascii="Times New Roman" w:hAnsi="Times New Roman" w:cs="Times New Roman"/>
          <w:sz w:val="24"/>
          <w:szCs w:val="24"/>
          <w:lang w:val="en-US"/>
        </w:rPr>
        <w:t>ranges from 0 to 1, reaching 1 when each variable is perfectly predicted without</w:t>
      </w:r>
      <w:r w:rsidR="00B61A48">
        <w:rPr>
          <w:rFonts w:ascii="Times New Roman" w:hAnsi="Times New Roman" w:cs="Times New Roman"/>
          <w:sz w:val="24"/>
          <w:szCs w:val="24"/>
          <w:lang w:val="en-US"/>
        </w:rPr>
        <w:t xml:space="preserve"> error by the other variables. </w:t>
      </w:r>
      <w:proofErr w:type="gramStart"/>
      <w:r w:rsidR="00B61A48">
        <w:rPr>
          <w:rFonts w:ascii="Times New Roman" w:hAnsi="Times New Roman" w:cs="Times New Roman"/>
          <w:sz w:val="24"/>
          <w:szCs w:val="24"/>
          <w:lang w:val="en-US"/>
        </w:rPr>
        <w:t>K</w:t>
      </w:r>
      <w:r w:rsidR="001E748D">
        <w:rPr>
          <w:rFonts w:ascii="Times New Roman" w:hAnsi="Times New Roman" w:cs="Times New Roman"/>
          <w:sz w:val="24"/>
          <w:szCs w:val="24"/>
          <w:lang w:val="en-US"/>
        </w:rPr>
        <w:t>aiser-Meyer-Olkin (K</w:t>
      </w:r>
      <w:r w:rsidR="00B61A48">
        <w:rPr>
          <w:rFonts w:ascii="Times New Roman" w:hAnsi="Times New Roman" w:cs="Times New Roman"/>
          <w:sz w:val="24"/>
          <w:szCs w:val="24"/>
          <w:lang w:val="en-US"/>
        </w:rPr>
        <w:t>MO</w:t>
      </w:r>
      <w:r w:rsidR="001E748D">
        <w:rPr>
          <w:rFonts w:ascii="Times New Roman" w:hAnsi="Times New Roman" w:cs="Times New Roman"/>
          <w:sz w:val="24"/>
          <w:szCs w:val="24"/>
          <w:lang w:val="en-US"/>
        </w:rPr>
        <w:t>)</w:t>
      </w:r>
      <w:r w:rsidR="00B61A48">
        <w:rPr>
          <w:rFonts w:ascii="Times New Roman" w:hAnsi="Times New Roman" w:cs="Times New Roman"/>
          <w:sz w:val="24"/>
          <w:szCs w:val="24"/>
          <w:lang w:val="en-US"/>
        </w:rPr>
        <w:t xml:space="preserve"> v</w:t>
      </w:r>
      <w:r w:rsidRPr="005C43D5">
        <w:rPr>
          <w:rFonts w:ascii="Times New Roman" w:hAnsi="Times New Roman" w:cs="Times New Roman"/>
          <w:sz w:val="24"/>
          <w:szCs w:val="24"/>
          <w:lang w:val="en-US"/>
        </w:rPr>
        <w:t>alues higher than 0.80 are considered ‘meritorious’ (Hair et al., 2014).</w:t>
      </w:r>
      <w:proofErr w:type="gramEnd"/>
      <w:r w:rsidR="001B00B5">
        <w:rPr>
          <w:rFonts w:ascii="Times New Roman" w:hAnsi="Times New Roman" w:cs="Times New Roman"/>
          <w:sz w:val="24"/>
          <w:szCs w:val="24"/>
          <w:lang w:val="en-US"/>
        </w:rPr>
        <w:t xml:space="preserve"> </w:t>
      </w:r>
      <w:r w:rsidR="001E748D">
        <w:rPr>
          <w:rFonts w:ascii="Times New Roman" w:hAnsi="Times New Roman" w:cs="Times New Roman"/>
          <w:sz w:val="24"/>
          <w:szCs w:val="24"/>
          <w:lang w:val="en-US"/>
        </w:rPr>
        <w:t>KMO value for internalization is 0.890</w:t>
      </w:r>
      <w:r w:rsidR="001B00B5">
        <w:rPr>
          <w:rFonts w:ascii="Times New Roman" w:hAnsi="Times New Roman" w:cs="Times New Roman"/>
          <w:sz w:val="24"/>
          <w:szCs w:val="24"/>
          <w:lang w:val="en-US"/>
        </w:rPr>
        <w:t xml:space="preserve"> </w:t>
      </w:r>
      <w:r w:rsidR="001E748D">
        <w:rPr>
          <w:rFonts w:ascii="Times New Roman" w:hAnsi="Times New Roman" w:cs="Times New Roman"/>
          <w:sz w:val="24"/>
          <w:szCs w:val="24"/>
          <w:lang w:val="en-US"/>
        </w:rPr>
        <w:t>and for CSP is 0.888. S</w:t>
      </w:r>
      <w:r w:rsidR="001B00B5">
        <w:rPr>
          <w:rFonts w:ascii="Times New Roman" w:hAnsi="Times New Roman" w:cs="Times New Roman"/>
          <w:sz w:val="24"/>
          <w:szCs w:val="24"/>
          <w:lang w:val="en-US"/>
        </w:rPr>
        <w:t xml:space="preserve">phericity values are </w:t>
      </w:r>
      <w:r w:rsidR="001E748D">
        <w:rPr>
          <w:rFonts w:ascii="Times New Roman" w:hAnsi="Times New Roman" w:cs="Times New Roman"/>
          <w:sz w:val="24"/>
          <w:szCs w:val="24"/>
          <w:lang w:val="en-US"/>
        </w:rPr>
        <w:t>7142.583 (</w:t>
      </w:r>
      <w:proofErr w:type="gramStart"/>
      <w:r w:rsidR="001E748D">
        <w:rPr>
          <w:rFonts w:ascii="Times New Roman" w:hAnsi="Times New Roman" w:cs="Times New Roman"/>
          <w:sz w:val="24"/>
          <w:szCs w:val="24"/>
          <w:lang w:val="en-US"/>
        </w:rPr>
        <w:t>df</w:t>
      </w:r>
      <w:proofErr w:type="gramEnd"/>
      <w:r w:rsidR="001E748D">
        <w:rPr>
          <w:rFonts w:ascii="Times New Roman" w:hAnsi="Times New Roman" w:cs="Times New Roman"/>
          <w:sz w:val="24"/>
          <w:szCs w:val="24"/>
          <w:lang w:val="en-US"/>
        </w:rPr>
        <w:t>: 666) and 5587.103 (df: 465) for internalization and CSP (sig. &lt; 0.001), respectively</w:t>
      </w:r>
      <w:r w:rsidR="001B00B5">
        <w:rPr>
          <w:rFonts w:ascii="Times New Roman" w:hAnsi="Times New Roman" w:cs="Times New Roman"/>
          <w:sz w:val="24"/>
          <w:szCs w:val="24"/>
          <w:lang w:val="en-US"/>
        </w:rPr>
        <w:t>.</w:t>
      </w:r>
    </w:p>
    <w:p w:rsidR="009F6B86" w:rsidRPr="009F6B86" w:rsidRDefault="009F6B86" w:rsidP="009F6B86">
      <w:pPr>
        <w:autoSpaceDE w:val="0"/>
        <w:autoSpaceDN w:val="0"/>
        <w:adjustRightInd w:val="0"/>
        <w:ind w:firstLine="288"/>
        <w:jc w:val="both"/>
        <w:rPr>
          <w:rFonts w:ascii="Times New Roman" w:hAnsi="Times New Roman" w:cs="Times New Roman"/>
          <w:sz w:val="24"/>
          <w:szCs w:val="24"/>
          <w:lang w:val="en-US"/>
        </w:rPr>
      </w:pPr>
    </w:p>
    <w:p w:rsidR="0004385A" w:rsidRPr="0004385A" w:rsidRDefault="0004385A" w:rsidP="00C1414A">
      <w:pPr>
        <w:autoSpaceDE w:val="0"/>
        <w:autoSpaceDN w:val="0"/>
        <w:adjustRightInd w:val="0"/>
        <w:jc w:val="both"/>
        <w:rPr>
          <w:rFonts w:ascii="Times New Roman" w:hAnsi="Times New Roman" w:cs="Times New Roman"/>
          <w:i/>
          <w:sz w:val="24"/>
          <w:szCs w:val="24"/>
          <w:lang w:val="en-US"/>
        </w:rPr>
      </w:pPr>
      <w:r w:rsidRPr="0004385A">
        <w:rPr>
          <w:rFonts w:ascii="Times New Roman" w:hAnsi="Times New Roman" w:cs="Times New Roman"/>
          <w:i/>
          <w:sz w:val="24"/>
          <w:szCs w:val="24"/>
          <w:lang w:val="en-US"/>
        </w:rPr>
        <w:t>Factor analysis</w:t>
      </w:r>
    </w:p>
    <w:p w:rsidR="009920F4" w:rsidRDefault="0004385A" w:rsidP="00C1414A">
      <w:pPr>
        <w:autoSpaceDE w:val="0"/>
        <w:autoSpaceDN w:val="0"/>
        <w:adjustRightInd w:val="0"/>
        <w:ind w:firstLine="28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Varimax </w:t>
      </w:r>
      <w:r w:rsidR="009920F4" w:rsidRPr="008751F4">
        <w:rPr>
          <w:rFonts w:ascii="Times New Roman" w:hAnsi="Times New Roman" w:cs="Times New Roman"/>
          <w:sz w:val="24"/>
          <w:szCs w:val="24"/>
          <w:lang w:val="en-US"/>
        </w:rPr>
        <w:t xml:space="preserve">rotation </w:t>
      </w:r>
      <w:r>
        <w:rPr>
          <w:rFonts w:ascii="Times New Roman" w:hAnsi="Times New Roman" w:cs="Times New Roman"/>
          <w:sz w:val="24"/>
          <w:szCs w:val="24"/>
          <w:lang w:val="en-US"/>
        </w:rPr>
        <w:t>is</w:t>
      </w:r>
      <w:r w:rsidR="009920F4" w:rsidRPr="008751F4">
        <w:rPr>
          <w:rFonts w:ascii="Times New Roman" w:hAnsi="Times New Roman" w:cs="Times New Roman"/>
          <w:sz w:val="24"/>
          <w:szCs w:val="24"/>
          <w:lang w:val="en-US"/>
        </w:rPr>
        <w:t xml:space="preserve"> appli</w:t>
      </w:r>
      <w:r>
        <w:rPr>
          <w:rFonts w:ascii="Times New Roman" w:hAnsi="Times New Roman" w:cs="Times New Roman"/>
          <w:sz w:val="24"/>
          <w:szCs w:val="24"/>
          <w:lang w:val="en-US"/>
        </w:rPr>
        <w:t>ed on the internalization items. S</w:t>
      </w:r>
      <w:r w:rsidR="0050567F" w:rsidRPr="008751F4">
        <w:rPr>
          <w:rFonts w:ascii="Times New Roman" w:hAnsi="Times New Roman" w:cs="Times New Roman"/>
          <w:sz w:val="24"/>
          <w:szCs w:val="24"/>
          <w:lang w:val="en-US"/>
        </w:rPr>
        <w:t xml:space="preserve">even latent factors </w:t>
      </w:r>
      <w:r>
        <w:rPr>
          <w:rFonts w:ascii="Times New Roman" w:hAnsi="Times New Roman" w:cs="Times New Roman"/>
          <w:sz w:val="24"/>
          <w:szCs w:val="24"/>
          <w:lang w:val="en-US"/>
        </w:rPr>
        <w:t xml:space="preserve">are </w:t>
      </w:r>
      <w:r w:rsidRPr="008751F4">
        <w:rPr>
          <w:rFonts w:ascii="Times New Roman" w:hAnsi="Times New Roman" w:cs="Times New Roman"/>
          <w:sz w:val="24"/>
          <w:szCs w:val="24"/>
          <w:lang w:val="en-US"/>
        </w:rPr>
        <w:t xml:space="preserve">revealed </w:t>
      </w:r>
      <w:r>
        <w:rPr>
          <w:rFonts w:ascii="Times New Roman" w:hAnsi="Times New Roman" w:cs="Times New Roman"/>
          <w:sz w:val="24"/>
          <w:szCs w:val="24"/>
          <w:lang w:val="en-US"/>
        </w:rPr>
        <w:t>and</w:t>
      </w:r>
      <w:r w:rsidR="0050567F" w:rsidRPr="008751F4">
        <w:rPr>
          <w:rFonts w:ascii="Times New Roman" w:hAnsi="Times New Roman" w:cs="Times New Roman"/>
          <w:sz w:val="24"/>
          <w:szCs w:val="24"/>
          <w:lang w:val="en-US"/>
        </w:rPr>
        <w:t xml:space="preserve"> </w:t>
      </w:r>
      <w:r w:rsidR="0049616F" w:rsidRPr="008751F4">
        <w:rPr>
          <w:rFonts w:ascii="Times New Roman" w:hAnsi="Times New Roman" w:cs="Times New Roman"/>
          <w:sz w:val="24"/>
          <w:szCs w:val="24"/>
          <w:lang w:val="en-US"/>
        </w:rPr>
        <w:t>label</w:t>
      </w:r>
      <w:r w:rsidR="0050567F" w:rsidRPr="008751F4">
        <w:rPr>
          <w:rFonts w:ascii="Times New Roman" w:hAnsi="Times New Roman" w:cs="Times New Roman"/>
          <w:sz w:val="24"/>
          <w:szCs w:val="24"/>
          <w:lang w:val="en-US"/>
        </w:rPr>
        <w:t xml:space="preserve">ed as </w:t>
      </w:r>
      <w:r w:rsidR="0049616F" w:rsidRPr="008751F4">
        <w:rPr>
          <w:rFonts w:ascii="Times New Roman" w:hAnsi="Times New Roman" w:cs="Times New Roman"/>
          <w:sz w:val="24"/>
          <w:szCs w:val="24"/>
          <w:lang w:val="en-US"/>
        </w:rPr>
        <w:t>internal processes integration level, human resources, audits integration level, strategic resources, information systems, outsourcing, integration tools</w:t>
      </w:r>
      <w:r w:rsidR="00092175">
        <w:rPr>
          <w:rFonts w:ascii="Times New Roman" w:hAnsi="Times New Roman" w:cs="Times New Roman"/>
          <w:sz w:val="24"/>
          <w:szCs w:val="24"/>
          <w:lang w:val="en-US"/>
        </w:rPr>
        <w:t xml:space="preserve"> (see Fig.1)</w:t>
      </w:r>
      <w:r w:rsidR="0049616F" w:rsidRPr="008751F4">
        <w:rPr>
          <w:rFonts w:ascii="Times New Roman" w:hAnsi="Times New Roman" w:cs="Times New Roman"/>
          <w:sz w:val="24"/>
          <w:szCs w:val="24"/>
          <w:lang w:val="en-US"/>
        </w:rPr>
        <w:t>.</w:t>
      </w:r>
      <w:r w:rsidR="009E79E5">
        <w:rPr>
          <w:rFonts w:ascii="Times New Roman" w:hAnsi="Times New Roman" w:cs="Times New Roman"/>
          <w:sz w:val="24"/>
          <w:szCs w:val="24"/>
          <w:lang w:val="en-US"/>
        </w:rPr>
        <w:t xml:space="preserve"> Rotated comp</w:t>
      </w:r>
      <w:r w:rsidR="00421EEC">
        <w:rPr>
          <w:rFonts w:ascii="Times New Roman" w:hAnsi="Times New Roman" w:cs="Times New Roman"/>
          <w:sz w:val="24"/>
          <w:szCs w:val="24"/>
          <w:lang w:val="en-US"/>
        </w:rPr>
        <w:t>onent matrix is shown in Table 1</w:t>
      </w:r>
      <w:r w:rsidR="009E79E5">
        <w:rPr>
          <w:rFonts w:ascii="Times New Roman" w:hAnsi="Times New Roman" w:cs="Times New Roman"/>
          <w:sz w:val="24"/>
          <w:szCs w:val="24"/>
          <w:lang w:val="en-US"/>
        </w:rPr>
        <w:t>a.</w:t>
      </w:r>
    </w:p>
    <w:p w:rsidR="00CF30B3" w:rsidRDefault="00CF30B3" w:rsidP="009E79E5">
      <w:pPr>
        <w:autoSpaceDE w:val="0"/>
        <w:autoSpaceDN w:val="0"/>
        <w:adjustRightInd w:val="0"/>
        <w:rPr>
          <w:rFonts w:ascii="Times New Roman" w:hAnsi="Times New Roman" w:cs="Times New Roman"/>
          <w:b/>
          <w:bCs/>
          <w:color w:val="000000"/>
          <w:sz w:val="20"/>
          <w:szCs w:val="20"/>
          <w:lang w:val="en-US"/>
        </w:rPr>
      </w:pPr>
    </w:p>
    <w:p w:rsidR="00DA0294" w:rsidRPr="009E79E5" w:rsidRDefault="00421EEC" w:rsidP="009E79E5">
      <w:pPr>
        <w:autoSpaceDE w:val="0"/>
        <w:autoSpaceDN w:val="0"/>
        <w:adjustRightInd w:val="0"/>
        <w:rPr>
          <w:rFonts w:ascii="Times New Roman" w:hAnsi="Times New Roman" w:cs="Times New Roman"/>
          <w:bCs/>
          <w:color w:val="000000"/>
          <w:sz w:val="20"/>
          <w:szCs w:val="20"/>
          <w:vertAlign w:val="superscript"/>
          <w:lang w:val="en-US"/>
        </w:rPr>
      </w:pPr>
      <w:proofErr w:type="gramStart"/>
      <w:r>
        <w:rPr>
          <w:rFonts w:ascii="Times New Roman" w:hAnsi="Times New Roman" w:cs="Times New Roman"/>
          <w:b/>
          <w:bCs/>
          <w:color w:val="000000"/>
          <w:sz w:val="20"/>
          <w:szCs w:val="20"/>
          <w:lang w:val="en-US"/>
        </w:rPr>
        <w:t>Table 1</w:t>
      </w:r>
      <w:r w:rsidR="00092175" w:rsidRPr="009E79E5">
        <w:rPr>
          <w:rFonts w:ascii="Times New Roman" w:hAnsi="Times New Roman" w:cs="Times New Roman"/>
          <w:b/>
          <w:bCs/>
          <w:color w:val="000000"/>
          <w:sz w:val="20"/>
          <w:szCs w:val="20"/>
          <w:lang w:val="en-US"/>
        </w:rPr>
        <w:t>a</w:t>
      </w:r>
      <w:r w:rsidR="00AE6A38" w:rsidRPr="009E79E5">
        <w:rPr>
          <w:rFonts w:ascii="Times New Roman" w:hAnsi="Times New Roman" w:cs="Times New Roman"/>
          <w:b/>
          <w:bCs/>
          <w:color w:val="000000"/>
          <w:sz w:val="20"/>
          <w:szCs w:val="20"/>
          <w:lang w:val="en-US"/>
        </w:rPr>
        <w:t>.</w:t>
      </w:r>
      <w:proofErr w:type="gramEnd"/>
      <w:r w:rsidR="00AE6A38" w:rsidRPr="009E79E5">
        <w:rPr>
          <w:rFonts w:ascii="Times New Roman" w:hAnsi="Times New Roman" w:cs="Times New Roman"/>
          <w:b/>
          <w:bCs/>
          <w:color w:val="000000"/>
          <w:sz w:val="20"/>
          <w:szCs w:val="20"/>
          <w:lang w:val="en-US"/>
        </w:rPr>
        <w:t xml:space="preserve"> </w:t>
      </w:r>
      <w:r w:rsidR="00AE6A38" w:rsidRPr="009E79E5">
        <w:rPr>
          <w:rFonts w:ascii="Times New Roman" w:hAnsi="Times New Roman" w:cs="Times New Roman"/>
          <w:bCs/>
          <w:color w:val="000000"/>
          <w:sz w:val="20"/>
          <w:szCs w:val="20"/>
          <w:lang w:val="en-US"/>
        </w:rPr>
        <w:t xml:space="preserve">Internalization - </w:t>
      </w:r>
      <w:r w:rsidR="00B12A3A" w:rsidRPr="009E79E5">
        <w:rPr>
          <w:rFonts w:ascii="Times New Roman" w:hAnsi="Times New Roman" w:cs="Times New Roman"/>
          <w:bCs/>
          <w:color w:val="000000"/>
          <w:sz w:val="20"/>
          <w:szCs w:val="20"/>
          <w:lang w:val="en-US"/>
        </w:rPr>
        <w:t>Rotated Component Matrix</w:t>
      </w:r>
    </w:p>
    <w:p w:rsidR="00E73F51" w:rsidRPr="00092175" w:rsidRDefault="00E73F51" w:rsidP="00B12A3A">
      <w:pPr>
        <w:autoSpaceDE w:val="0"/>
        <w:autoSpaceDN w:val="0"/>
        <w:adjustRightInd w:val="0"/>
        <w:jc w:val="center"/>
        <w:rPr>
          <w:rFonts w:ascii="Times New Roman" w:hAnsi="Times New Roman" w:cs="Times New Roman"/>
          <w:sz w:val="24"/>
          <w:szCs w:val="24"/>
          <w:lang w:val="en-US"/>
        </w:rPr>
      </w:pPr>
    </w:p>
    <w:tbl>
      <w:tblPr>
        <w:tblW w:w="7052" w:type="dxa"/>
        <w:jc w:val="center"/>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6"/>
        <w:gridCol w:w="1980"/>
        <w:gridCol w:w="596"/>
        <w:gridCol w:w="540"/>
        <w:gridCol w:w="540"/>
        <w:gridCol w:w="540"/>
        <w:gridCol w:w="540"/>
        <w:gridCol w:w="540"/>
        <w:gridCol w:w="540"/>
      </w:tblGrid>
      <w:tr w:rsidR="00B3686D" w:rsidRPr="00CF30B3" w:rsidTr="00521EC8">
        <w:trPr>
          <w:tblHeader/>
          <w:jc w:val="center"/>
        </w:trPr>
        <w:tc>
          <w:tcPr>
            <w:tcW w:w="1236" w:type="dxa"/>
            <w:tcBorders>
              <w:top w:val="single" w:sz="12" w:space="0" w:color="000000"/>
              <w:left w:val="single" w:sz="16" w:space="0" w:color="000000"/>
              <w:bottom w:val="nil"/>
              <w:right w:val="single" w:sz="16" w:space="0" w:color="000000"/>
            </w:tcBorders>
            <w:shd w:val="clear" w:color="auto" w:fill="FFFFFF"/>
            <w:vAlign w:val="center"/>
          </w:tcPr>
          <w:p w:rsidR="00B3686D" w:rsidRPr="00CF30B3" w:rsidRDefault="00B3686D" w:rsidP="00311AEE">
            <w:pPr>
              <w:autoSpaceDE w:val="0"/>
              <w:autoSpaceDN w:val="0"/>
              <w:adjustRightInd w:val="0"/>
              <w:ind w:left="90"/>
              <w:jc w:val="center"/>
              <w:rPr>
                <w:rFonts w:ascii="Times New Roman" w:hAnsi="Times New Roman" w:cs="Times New Roman"/>
                <w:color w:val="000000"/>
                <w:sz w:val="20"/>
                <w:szCs w:val="20"/>
                <w:lang w:val="en-US"/>
              </w:rPr>
            </w:pPr>
          </w:p>
        </w:tc>
        <w:tc>
          <w:tcPr>
            <w:tcW w:w="1980" w:type="dxa"/>
            <w:tcBorders>
              <w:top w:val="single" w:sz="12" w:space="0" w:color="000000"/>
              <w:left w:val="single" w:sz="16" w:space="0" w:color="000000"/>
              <w:bottom w:val="nil"/>
              <w:right w:val="single" w:sz="16" w:space="0" w:color="000000"/>
            </w:tcBorders>
            <w:shd w:val="clear" w:color="auto" w:fill="FFFFFF"/>
            <w:vAlign w:val="center"/>
          </w:tcPr>
          <w:p w:rsidR="00B3686D" w:rsidRPr="00CF30B3" w:rsidRDefault="00B3686D" w:rsidP="00311AEE">
            <w:pPr>
              <w:autoSpaceDE w:val="0"/>
              <w:autoSpaceDN w:val="0"/>
              <w:adjustRightInd w:val="0"/>
              <w:ind w:left="90"/>
              <w:rPr>
                <w:rFonts w:ascii="Times New Roman" w:hAnsi="Times New Roman" w:cs="Times New Roman"/>
                <w:color w:val="000000"/>
                <w:sz w:val="20"/>
                <w:szCs w:val="20"/>
                <w:lang w:val="en-US"/>
              </w:rPr>
            </w:pPr>
          </w:p>
        </w:tc>
        <w:tc>
          <w:tcPr>
            <w:tcW w:w="3836" w:type="dxa"/>
            <w:gridSpan w:val="7"/>
            <w:tcBorders>
              <w:top w:val="single" w:sz="12" w:space="0" w:color="000000"/>
              <w:left w:val="single" w:sz="16" w:space="0" w:color="000000"/>
              <w:bottom w:val="single" w:sz="16" w:space="0" w:color="000000"/>
              <w:right w:val="single" w:sz="12" w:space="0" w:color="000000"/>
            </w:tcBorders>
            <w:shd w:val="clear" w:color="auto" w:fill="FFFFFF"/>
            <w:vAlign w:val="center"/>
          </w:tcPr>
          <w:p w:rsidR="00B3686D" w:rsidRPr="00CF30B3" w:rsidRDefault="00B3686D" w:rsidP="00311AEE">
            <w:pPr>
              <w:autoSpaceDE w:val="0"/>
              <w:autoSpaceDN w:val="0"/>
              <w:adjustRightInd w:val="0"/>
              <w:ind w:left="58" w:right="58"/>
              <w:jc w:val="center"/>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Component</w:t>
            </w:r>
          </w:p>
        </w:tc>
      </w:tr>
      <w:tr w:rsidR="00B3686D" w:rsidRPr="00CF30B3" w:rsidTr="00521EC8">
        <w:trPr>
          <w:tblHeader/>
          <w:jc w:val="center"/>
        </w:trPr>
        <w:tc>
          <w:tcPr>
            <w:tcW w:w="1236" w:type="dxa"/>
            <w:tcBorders>
              <w:top w:val="single" w:sz="16" w:space="0" w:color="000000"/>
              <w:left w:val="single" w:sz="16" w:space="0" w:color="000000"/>
              <w:bottom w:val="single" w:sz="12" w:space="0" w:color="000000"/>
              <w:right w:val="single" w:sz="16" w:space="0" w:color="000000"/>
            </w:tcBorders>
            <w:shd w:val="clear" w:color="auto" w:fill="FFFFFF"/>
            <w:vAlign w:val="center"/>
          </w:tcPr>
          <w:p w:rsidR="00B3686D" w:rsidRPr="00CF30B3" w:rsidRDefault="00521EC8" w:rsidP="00311AEE">
            <w:pPr>
              <w:autoSpaceDE w:val="0"/>
              <w:autoSpaceDN w:val="0"/>
              <w:adjustRightInd w:val="0"/>
              <w:ind w:left="90"/>
              <w:jc w:val="center"/>
              <w:rPr>
                <w:rFonts w:ascii="Times New Roman" w:hAnsi="Times New Roman" w:cs="Times New Roman"/>
                <w:b/>
                <w:color w:val="000000"/>
                <w:sz w:val="20"/>
                <w:szCs w:val="20"/>
                <w:lang w:val="en-US"/>
              </w:rPr>
            </w:pPr>
            <w:r w:rsidRPr="00CF30B3">
              <w:rPr>
                <w:rFonts w:ascii="Times New Roman" w:hAnsi="Times New Roman" w:cs="Times New Roman"/>
                <w:b/>
                <w:color w:val="000000"/>
                <w:sz w:val="20"/>
                <w:szCs w:val="20"/>
                <w:lang w:val="en-US"/>
              </w:rPr>
              <w:t>Factors</w:t>
            </w:r>
          </w:p>
        </w:tc>
        <w:tc>
          <w:tcPr>
            <w:tcW w:w="1980" w:type="dxa"/>
            <w:tcBorders>
              <w:top w:val="single" w:sz="16" w:space="0" w:color="000000"/>
              <w:left w:val="single" w:sz="16" w:space="0" w:color="000000"/>
              <w:bottom w:val="single" w:sz="12" w:space="0" w:color="000000"/>
              <w:right w:val="single" w:sz="16" w:space="0" w:color="000000"/>
            </w:tcBorders>
            <w:shd w:val="clear" w:color="auto" w:fill="FFFFFF"/>
            <w:vAlign w:val="center"/>
          </w:tcPr>
          <w:p w:rsidR="00B3686D" w:rsidRPr="00CF30B3" w:rsidRDefault="00B3686D" w:rsidP="00311AEE">
            <w:pPr>
              <w:autoSpaceDE w:val="0"/>
              <w:autoSpaceDN w:val="0"/>
              <w:adjustRightInd w:val="0"/>
              <w:ind w:left="90"/>
              <w:rPr>
                <w:rFonts w:ascii="Times New Roman" w:hAnsi="Times New Roman" w:cs="Times New Roman"/>
                <w:b/>
                <w:color w:val="000000"/>
                <w:sz w:val="20"/>
                <w:szCs w:val="20"/>
                <w:lang w:val="en-US"/>
              </w:rPr>
            </w:pPr>
            <w:r w:rsidRPr="00CF30B3">
              <w:rPr>
                <w:rFonts w:ascii="Times New Roman" w:hAnsi="Times New Roman" w:cs="Times New Roman"/>
                <w:b/>
                <w:color w:val="000000"/>
                <w:sz w:val="20"/>
                <w:szCs w:val="20"/>
                <w:lang w:val="en-US"/>
              </w:rPr>
              <w:t>Items</w:t>
            </w:r>
          </w:p>
        </w:tc>
        <w:tc>
          <w:tcPr>
            <w:tcW w:w="596" w:type="dxa"/>
            <w:tcBorders>
              <w:left w:val="single" w:sz="16" w:space="0" w:color="000000"/>
              <w:bottom w:val="single" w:sz="16" w:space="0" w:color="000000"/>
            </w:tcBorders>
            <w:shd w:val="clear" w:color="auto" w:fill="FFFFFF"/>
            <w:vAlign w:val="center"/>
          </w:tcPr>
          <w:p w:rsidR="00B3686D" w:rsidRPr="00CF30B3" w:rsidRDefault="00B3686D" w:rsidP="00311AEE">
            <w:pPr>
              <w:autoSpaceDE w:val="0"/>
              <w:autoSpaceDN w:val="0"/>
              <w:adjustRightInd w:val="0"/>
              <w:ind w:left="58" w:right="58"/>
              <w:jc w:val="center"/>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1</w:t>
            </w:r>
          </w:p>
        </w:tc>
        <w:tc>
          <w:tcPr>
            <w:tcW w:w="540" w:type="dxa"/>
            <w:tcBorders>
              <w:bottom w:val="single" w:sz="16" w:space="0" w:color="000000"/>
            </w:tcBorders>
            <w:shd w:val="clear" w:color="auto" w:fill="FFFFFF"/>
            <w:vAlign w:val="center"/>
          </w:tcPr>
          <w:p w:rsidR="00B3686D" w:rsidRPr="00CF30B3" w:rsidRDefault="00B3686D" w:rsidP="00311AEE">
            <w:pPr>
              <w:autoSpaceDE w:val="0"/>
              <w:autoSpaceDN w:val="0"/>
              <w:adjustRightInd w:val="0"/>
              <w:ind w:left="58" w:right="58"/>
              <w:jc w:val="center"/>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2</w:t>
            </w:r>
          </w:p>
        </w:tc>
        <w:tc>
          <w:tcPr>
            <w:tcW w:w="540" w:type="dxa"/>
            <w:tcBorders>
              <w:bottom w:val="single" w:sz="16" w:space="0" w:color="000000"/>
            </w:tcBorders>
            <w:shd w:val="clear" w:color="auto" w:fill="FFFFFF"/>
            <w:vAlign w:val="center"/>
          </w:tcPr>
          <w:p w:rsidR="00B3686D" w:rsidRPr="00CF30B3" w:rsidRDefault="00B3686D" w:rsidP="00311AEE">
            <w:pPr>
              <w:autoSpaceDE w:val="0"/>
              <w:autoSpaceDN w:val="0"/>
              <w:adjustRightInd w:val="0"/>
              <w:ind w:left="58" w:right="58"/>
              <w:jc w:val="center"/>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3</w:t>
            </w:r>
          </w:p>
        </w:tc>
        <w:tc>
          <w:tcPr>
            <w:tcW w:w="540" w:type="dxa"/>
            <w:tcBorders>
              <w:bottom w:val="single" w:sz="16" w:space="0" w:color="000000"/>
            </w:tcBorders>
            <w:shd w:val="clear" w:color="auto" w:fill="FFFFFF"/>
            <w:vAlign w:val="center"/>
          </w:tcPr>
          <w:p w:rsidR="00B3686D" w:rsidRPr="00CF30B3" w:rsidRDefault="00B3686D" w:rsidP="00311AEE">
            <w:pPr>
              <w:autoSpaceDE w:val="0"/>
              <w:autoSpaceDN w:val="0"/>
              <w:adjustRightInd w:val="0"/>
              <w:ind w:left="58" w:right="58"/>
              <w:jc w:val="center"/>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4</w:t>
            </w:r>
          </w:p>
        </w:tc>
        <w:tc>
          <w:tcPr>
            <w:tcW w:w="540" w:type="dxa"/>
            <w:tcBorders>
              <w:bottom w:val="single" w:sz="16" w:space="0" w:color="000000"/>
            </w:tcBorders>
            <w:shd w:val="clear" w:color="auto" w:fill="FFFFFF"/>
            <w:vAlign w:val="center"/>
          </w:tcPr>
          <w:p w:rsidR="00B3686D" w:rsidRPr="00CF30B3" w:rsidRDefault="00B3686D" w:rsidP="00311AEE">
            <w:pPr>
              <w:autoSpaceDE w:val="0"/>
              <w:autoSpaceDN w:val="0"/>
              <w:adjustRightInd w:val="0"/>
              <w:ind w:left="58" w:right="58"/>
              <w:jc w:val="center"/>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5</w:t>
            </w:r>
          </w:p>
        </w:tc>
        <w:tc>
          <w:tcPr>
            <w:tcW w:w="540" w:type="dxa"/>
            <w:tcBorders>
              <w:bottom w:val="single" w:sz="16" w:space="0" w:color="000000"/>
            </w:tcBorders>
            <w:shd w:val="clear" w:color="auto" w:fill="FFFFFF"/>
            <w:vAlign w:val="center"/>
          </w:tcPr>
          <w:p w:rsidR="00B3686D" w:rsidRPr="00CF30B3" w:rsidRDefault="00B3686D" w:rsidP="00311AEE">
            <w:pPr>
              <w:autoSpaceDE w:val="0"/>
              <w:autoSpaceDN w:val="0"/>
              <w:adjustRightInd w:val="0"/>
              <w:ind w:left="58" w:right="58"/>
              <w:jc w:val="center"/>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6</w:t>
            </w:r>
          </w:p>
        </w:tc>
        <w:tc>
          <w:tcPr>
            <w:tcW w:w="540" w:type="dxa"/>
            <w:tcBorders>
              <w:bottom w:val="single" w:sz="16" w:space="0" w:color="000000"/>
              <w:right w:val="single" w:sz="12" w:space="0" w:color="000000"/>
            </w:tcBorders>
            <w:shd w:val="clear" w:color="auto" w:fill="FFFFFF"/>
            <w:vAlign w:val="center"/>
          </w:tcPr>
          <w:p w:rsidR="00B3686D" w:rsidRPr="00CF30B3" w:rsidRDefault="00B3686D" w:rsidP="00311AEE">
            <w:pPr>
              <w:autoSpaceDE w:val="0"/>
              <w:autoSpaceDN w:val="0"/>
              <w:adjustRightInd w:val="0"/>
              <w:ind w:left="58" w:right="58"/>
              <w:jc w:val="center"/>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w:t>
            </w:r>
          </w:p>
        </w:tc>
      </w:tr>
      <w:tr w:rsidR="00B3686D" w:rsidRPr="00CF30B3" w:rsidTr="00C1414A">
        <w:trPr>
          <w:cantSplit/>
          <w:trHeight w:val="216"/>
          <w:jc w:val="center"/>
        </w:trPr>
        <w:tc>
          <w:tcPr>
            <w:tcW w:w="1236" w:type="dxa"/>
            <w:vMerge w:val="restart"/>
            <w:tcBorders>
              <w:top w:val="single" w:sz="12" w:space="0" w:color="000000"/>
              <w:left w:val="single" w:sz="12" w:space="0" w:color="000000"/>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58" w:right="58"/>
              <w:jc w:val="center"/>
              <w:rPr>
                <w:rFonts w:ascii="Times New Roman" w:hAnsi="Times New Roman" w:cs="Times New Roman"/>
                <w:b/>
                <w:color w:val="000000"/>
                <w:sz w:val="20"/>
                <w:szCs w:val="20"/>
                <w:lang w:val="en-US"/>
              </w:rPr>
            </w:pPr>
            <w:r w:rsidRPr="00CF30B3">
              <w:rPr>
                <w:rFonts w:ascii="Times New Roman" w:hAnsi="Times New Roman" w:cs="Times New Roman"/>
                <w:b/>
                <w:color w:val="000000"/>
                <w:sz w:val="20"/>
                <w:szCs w:val="20"/>
                <w:lang w:val="en-US"/>
              </w:rPr>
              <w:t>Internal processes integration level</w:t>
            </w:r>
          </w:p>
        </w:tc>
        <w:tc>
          <w:tcPr>
            <w:tcW w:w="1980" w:type="dxa"/>
            <w:tcBorders>
              <w:top w:val="single" w:sz="12" w:space="0" w:color="000000"/>
              <w:left w:val="single" w:sz="12" w:space="0" w:color="000000"/>
              <w:bottom w:val="nil"/>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Records</w:t>
            </w:r>
          </w:p>
        </w:tc>
        <w:tc>
          <w:tcPr>
            <w:tcW w:w="596" w:type="dxa"/>
            <w:tcBorders>
              <w:top w:val="single" w:sz="16" w:space="0" w:color="000000"/>
              <w:left w:val="single" w:sz="12" w:space="0" w:color="000000"/>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.870</w:t>
            </w:r>
          </w:p>
        </w:tc>
        <w:tc>
          <w:tcPr>
            <w:tcW w:w="540" w:type="dxa"/>
            <w:tcBorders>
              <w:top w:val="single" w:sz="16" w:space="0" w:color="000000"/>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16" w:space="0" w:color="000000"/>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16" w:space="0" w:color="000000"/>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16" w:space="0" w:color="000000"/>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16" w:space="0" w:color="000000"/>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16" w:space="0" w:color="000000"/>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216"/>
          <w:jc w:val="center"/>
        </w:trPr>
        <w:tc>
          <w:tcPr>
            <w:tcW w:w="1236" w:type="dxa"/>
            <w:vMerge/>
            <w:tcBorders>
              <w:left w:val="single" w:sz="12" w:space="0" w:color="000000"/>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non_Compliance</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.866</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216"/>
          <w:jc w:val="center"/>
        </w:trPr>
        <w:tc>
          <w:tcPr>
            <w:tcW w:w="1236" w:type="dxa"/>
            <w:vMerge/>
            <w:tcBorders>
              <w:left w:val="single" w:sz="12" w:space="0" w:color="000000"/>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Risk</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.860</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F30B3">
        <w:trPr>
          <w:cantSplit/>
          <w:trHeight w:val="60"/>
          <w:jc w:val="center"/>
        </w:trPr>
        <w:tc>
          <w:tcPr>
            <w:tcW w:w="1236" w:type="dxa"/>
            <w:vMerge/>
            <w:tcBorders>
              <w:left w:val="single" w:sz="12" w:space="0" w:color="000000"/>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Production</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.858</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F30B3">
        <w:trPr>
          <w:cantSplit/>
          <w:trHeight w:val="60"/>
          <w:jc w:val="center"/>
        </w:trPr>
        <w:tc>
          <w:tcPr>
            <w:tcW w:w="1236" w:type="dxa"/>
            <w:vMerge/>
            <w:tcBorders>
              <w:left w:val="single" w:sz="12" w:space="0" w:color="000000"/>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Design</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.840</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171"/>
          <w:jc w:val="center"/>
        </w:trPr>
        <w:tc>
          <w:tcPr>
            <w:tcW w:w="1236" w:type="dxa"/>
            <w:vMerge/>
            <w:tcBorders>
              <w:left w:val="single" w:sz="12" w:space="0" w:color="000000"/>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Purchasing</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.816</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F30B3">
        <w:trPr>
          <w:cantSplit/>
          <w:trHeight w:val="60"/>
          <w:jc w:val="center"/>
        </w:trPr>
        <w:tc>
          <w:tcPr>
            <w:tcW w:w="1236" w:type="dxa"/>
            <w:vMerge/>
            <w:tcBorders>
              <w:left w:val="single" w:sz="12" w:space="0" w:color="000000"/>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Assessment</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.763</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198"/>
          <w:jc w:val="center"/>
        </w:trPr>
        <w:tc>
          <w:tcPr>
            <w:tcW w:w="1236" w:type="dxa"/>
            <w:vMerge/>
            <w:tcBorders>
              <w:left w:val="single" w:sz="12" w:space="0" w:color="000000"/>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Sales</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.757</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225"/>
          <w:jc w:val="center"/>
        </w:trPr>
        <w:tc>
          <w:tcPr>
            <w:tcW w:w="1236" w:type="dxa"/>
            <w:vMerge/>
            <w:tcBorders>
              <w:left w:val="single" w:sz="12" w:space="0" w:color="000000"/>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Training</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.740</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216"/>
          <w:jc w:val="center"/>
        </w:trPr>
        <w:tc>
          <w:tcPr>
            <w:tcW w:w="1236" w:type="dxa"/>
            <w:vMerge/>
            <w:tcBorders>
              <w:left w:val="single" w:sz="12" w:space="0" w:color="000000"/>
              <w:bottom w:val="single" w:sz="4" w:space="0" w:color="auto"/>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single" w:sz="4" w:space="0" w:color="auto"/>
              <w:right w:val="single" w:sz="12" w:space="0" w:color="000000"/>
            </w:tcBorders>
            <w:shd w:val="clear" w:color="auto" w:fill="E5DFEC" w:themeFill="accent4" w:themeFillTint="33"/>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Policy_goals</w:t>
            </w:r>
          </w:p>
        </w:tc>
        <w:tc>
          <w:tcPr>
            <w:tcW w:w="596" w:type="dxa"/>
            <w:tcBorders>
              <w:top w:val="nil"/>
              <w:left w:val="single" w:sz="12" w:space="0" w:color="000000"/>
              <w:bottom w:val="single" w:sz="4" w:space="0" w:color="auto"/>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.637</w:t>
            </w: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216"/>
          <w:jc w:val="center"/>
        </w:trPr>
        <w:tc>
          <w:tcPr>
            <w:tcW w:w="1236" w:type="dxa"/>
            <w:vMerge w:val="restart"/>
            <w:tcBorders>
              <w:top w:val="single" w:sz="4" w:space="0" w:color="auto"/>
              <w:left w:val="single" w:sz="12" w:space="0" w:color="000000"/>
              <w:right w:val="single" w:sz="12" w:space="0" w:color="000000"/>
            </w:tcBorders>
            <w:shd w:val="clear" w:color="auto" w:fill="D6E3BC" w:themeFill="accent3" w:themeFillTint="66"/>
            <w:vAlign w:val="center"/>
          </w:tcPr>
          <w:p w:rsidR="00B3686D" w:rsidRPr="00CF30B3" w:rsidRDefault="00B3686D" w:rsidP="00311AEE">
            <w:pPr>
              <w:autoSpaceDE w:val="0"/>
              <w:autoSpaceDN w:val="0"/>
              <w:adjustRightInd w:val="0"/>
              <w:ind w:left="60" w:right="60"/>
              <w:jc w:val="center"/>
              <w:rPr>
                <w:rFonts w:ascii="Times New Roman" w:hAnsi="Times New Roman" w:cs="Times New Roman"/>
                <w:b/>
                <w:color w:val="000000"/>
                <w:sz w:val="20"/>
                <w:szCs w:val="20"/>
                <w:lang w:val="en-US"/>
              </w:rPr>
            </w:pPr>
            <w:r w:rsidRPr="00CF30B3">
              <w:rPr>
                <w:rFonts w:ascii="Times New Roman" w:hAnsi="Times New Roman" w:cs="Times New Roman"/>
                <w:b/>
                <w:color w:val="000000"/>
                <w:sz w:val="20"/>
                <w:szCs w:val="20"/>
                <w:lang w:val="en-US"/>
              </w:rPr>
              <w:t>Human resources</w:t>
            </w:r>
          </w:p>
        </w:tc>
        <w:tc>
          <w:tcPr>
            <w:tcW w:w="1980" w:type="dxa"/>
            <w:tcBorders>
              <w:top w:val="single" w:sz="4" w:space="0" w:color="auto"/>
              <w:left w:val="single" w:sz="12" w:space="0" w:color="000000"/>
              <w:bottom w:val="nil"/>
              <w:right w:val="single" w:sz="12" w:space="0" w:color="000000"/>
            </w:tcBorders>
            <w:shd w:val="clear" w:color="auto" w:fill="D6E3BC" w:themeFill="accent3" w:themeFillTint="66"/>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Employee_benefits</w:t>
            </w:r>
          </w:p>
        </w:tc>
        <w:tc>
          <w:tcPr>
            <w:tcW w:w="596" w:type="dxa"/>
            <w:tcBorders>
              <w:top w:val="single" w:sz="4" w:space="0" w:color="auto"/>
              <w:left w:val="single" w:sz="12" w:space="0" w:color="000000"/>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.816</w:t>
            </w:r>
          </w:p>
        </w:tc>
        <w:tc>
          <w:tcPr>
            <w:tcW w:w="540" w:type="dxa"/>
            <w:tcBorders>
              <w:top w:val="single" w:sz="4" w:space="0" w:color="auto"/>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216"/>
          <w:jc w:val="center"/>
        </w:trPr>
        <w:tc>
          <w:tcPr>
            <w:tcW w:w="1236" w:type="dxa"/>
            <w:vMerge/>
            <w:tcBorders>
              <w:left w:val="single" w:sz="12" w:space="0" w:color="000000"/>
              <w:right w:val="single" w:sz="12" w:space="0" w:color="000000"/>
            </w:tcBorders>
            <w:shd w:val="clear" w:color="auto" w:fill="D6E3BC" w:themeFill="accent3" w:themeFillTint="66"/>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D6E3BC" w:themeFill="accent3" w:themeFillTint="66"/>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Engagement</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.753</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216"/>
          <w:jc w:val="center"/>
        </w:trPr>
        <w:tc>
          <w:tcPr>
            <w:tcW w:w="1236" w:type="dxa"/>
            <w:vMerge/>
            <w:tcBorders>
              <w:left w:val="single" w:sz="12" w:space="0" w:color="000000"/>
              <w:right w:val="single" w:sz="12" w:space="0" w:color="000000"/>
            </w:tcBorders>
            <w:shd w:val="clear" w:color="auto" w:fill="D6E3BC" w:themeFill="accent3" w:themeFillTint="66"/>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D6E3BC" w:themeFill="accent3" w:themeFillTint="66"/>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Managers_benefits</w:t>
            </w:r>
          </w:p>
        </w:tc>
        <w:tc>
          <w:tcPr>
            <w:tcW w:w="596" w:type="dxa"/>
            <w:tcBorders>
              <w:top w:val="nil"/>
              <w:left w:val="single" w:sz="12" w:space="0" w:color="000000"/>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.750</w:t>
            </w: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B3686D" w:rsidRPr="00CF30B3" w:rsidTr="00C1414A">
        <w:trPr>
          <w:cantSplit/>
          <w:trHeight w:val="216"/>
          <w:jc w:val="center"/>
        </w:trPr>
        <w:tc>
          <w:tcPr>
            <w:tcW w:w="1236" w:type="dxa"/>
            <w:vMerge/>
            <w:tcBorders>
              <w:left w:val="single" w:sz="12" w:space="0" w:color="000000"/>
              <w:bottom w:val="single" w:sz="4" w:space="0" w:color="auto"/>
              <w:right w:val="single" w:sz="12" w:space="0" w:color="000000"/>
            </w:tcBorders>
            <w:shd w:val="clear" w:color="auto" w:fill="D6E3BC" w:themeFill="accent3" w:themeFillTint="66"/>
            <w:vAlign w:val="center"/>
          </w:tcPr>
          <w:p w:rsidR="00B3686D" w:rsidRPr="00CF30B3" w:rsidRDefault="00B3686D"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single" w:sz="4" w:space="0" w:color="auto"/>
              <w:right w:val="single" w:sz="12" w:space="0" w:color="000000"/>
            </w:tcBorders>
            <w:shd w:val="clear" w:color="auto" w:fill="D6E3BC" w:themeFill="accent3" w:themeFillTint="66"/>
            <w:vAlign w:val="center"/>
          </w:tcPr>
          <w:p w:rsidR="00B3686D" w:rsidRPr="00CF30B3" w:rsidRDefault="00B3686D"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MS_training</w:t>
            </w:r>
          </w:p>
        </w:tc>
        <w:tc>
          <w:tcPr>
            <w:tcW w:w="596" w:type="dxa"/>
            <w:tcBorders>
              <w:top w:val="nil"/>
              <w:left w:val="single" w:sz="12" w:space="0" w:color="000000"/>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.665</w:t>
            </w: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right w:val="single" w:sz="12" w:space="0" w:color="000000"/>
            </w:tcBorders>
            <w:shd w:val="clear" w:color="auto" w:fill="FFFFFF"/>
            <w:vAlign w:val="center"/>
          </w:tcPr>
          <w:p w:rsidR="00B3686D" w:rsidRPr="00CF30B3" w:rsidRDefault="00B3686D"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val="restart"/>
            <w:tcBorders>
              <w:top w:val="single" w:sz="4" w:space="0" w:color="auto"/>
              <w:left w:val="single" w:sz="12" w:space="0" w:color="000000"/>
              <w:right w:val="single" w:sz="12" w:space="0" w:color="000000"/>
            </w:tcBorders>
            <w:shd w:val="clear" w:color="auto" w:fill="F2DBDB" w:themeFill="accent2" w:themeFillTint="33"/>
            <w:vAlign w:val="center"/>
          </w:tcPr>
          <w:p w:rsidR="008C4C2A" w:rsidRPr="00CF30B3" w:rsidRDefault="008C4C2A" w:rsidP="00C1414A">
            <w:pPr>
              <w:autoSpaceDE w:val="0"/>
              <w:autoSpaceDN w:val="0"/>
              <w:adjustRightInd w:val="0"/>
              <w:ind w:right="60"/>
              <w:jc w:val="center"/>
              <w:rPr>
                <w:rFonts w:ascii="Times New Roman" w:hAnsi="Times New Roman" w:cs="Times New Roman"/>
                <w:b/>
                <w:color w:val="000000"/>
                <w:sz w:val="20"/>
                <w:szCs w:val="20"/>
                <w:lang w:val="en-US"/>
              </w:rPr>
            </w:pPr>
            <w:r w:rsidRPr="00CF30B3">
              <w:rPr>
                <w:rFonts w:ascii="Times New Roman" w:hAnsi="Times New Roman" w:cs="Times New Roman"/>
                <w:b/>
                <w:color w:val="000000"/>
                <w:sz w:val="20"/>
                <w:szCs w:val="20"/>
                <w:lang w:val="en-US"/>
              </w:rPr>
              <w:t>Audits integration level</w:t>
            </w:r>
          </w:p>
        </w:tc>
        <w:tc>
          <w:tcPr>
            <w:tcW w:w="1980" w:type="dxa"/>
            <w:tcBorders>
              <w:top w:val="single" w:sz="4" w:space="0" w:color="auto"/>
              <w:left w:val="single" w:sz="12" w:space="0" w:color="000000"/>
              <w:bottom w:val="nil"/>
              <w:right w:val="single" w:sz="12" w:space="0" w:color="000000"/>
            </w:tcBorders>
            <w:shd w:val="clear" w:color="auto" w:fill="F2DBDB" w:themeFill="accent2" w:themeFillTint="33"/>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Ext_audit_report</w:t>
            </w:r>
          </w:p>
        </w:tc>
        <w:tc>
          <w:tcPr>
            <w:tcW w:w="596" w:type="dxa"/>
            <w:tcBorders>
              <w:top w:val="single" w:sz="4" w:space="0" w:color="auto"/>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.877</w:t>
            </w: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tcBorders>
              <w:left w:val="single" w:sz="12" w:space="0" w:color="000000"/>
              <w:right w:val="single" w:sz="12" w:space="0" w:color="000000"/>
            </w:tcBorders>
            <w:shd w:val="clear" w:color="auto" w:fill="F2DBDB" w:themeFill="accent2" w:themeFillTint="33"/>
            <w:vAlign w:val="center"/>
          </w:tcPr>
          <w:p w:rsidR="008C4C2A" w:rsidRPr="00CF30B3" w:rsidRDefault="008C4C2A"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F2DBDB" w:themeFill="accent2" w:themeFillTint="33"/>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Ext_audit_plan</w:t>
            </w:r>
          </w:p>
        </w:tc>
        <w:tc>
          <w:tcPr>
            <w:tcW w:w="596" w:type="dxa"/>
            <w:tcBorders>
              <w:top w:val="nil"/>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.865</w:t>
            </w: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tcBorders>
              <w:left w:val="single" w:sz="12" w:space="0" w:color="000000"/>
              <w:right w:val="single" w:sz="12" w:space="0" w:color="000000"/>
            </w:tcBorders>
            <w:shd w:val="clear" w:color="auto" w:fill="F2DBDB" w:themeFill="accent2" w:themeFillTint="33"/>
            <w:vAlign w:val="center"/>
          </w:tcPr>
          <w:p w:rsidR="008C4C2A" w:rsidRPr="00CF30B3" w:rsidRDefault="008C4C2A"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F2DBDB" w:themeFill="accent2" w:themeFillTint="33"/>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Int_audit_report</w:t>
            </w:r>
          </w:p>
        </w:tc>
        <w:tc>
          <w:tcPr>
            <w:tcW w:w="596" w:type="dxa"/>
            <w:tcBorders>
              <w:top w:val="nil"/>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.864</w:t>
            </w: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tcBorders>
              <w:left w:val="single" w:sz="12" w:space="0" w:color="000000"/>
              <w:bottom w:val="single" w:sz="4" w:space="0" w:color="auto"/>
              <w:right w:val="single" w:sz="12" w:space="0" w:color="000000"/>
            </w:tcBorders>
            <w:shd w:val="clear" w:color="auto" w:fill="F2DBDB" w:themeFill="accent2" w:themeFillTint="33"/>
            <w:vAlign w:val="center"/>
          </w:tcPr>
          <w:p w:rsidR="008C4C2A" w:rsidRPr="00CF30B3" w:rsidRDefault="008C4C2A"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single" w:sz="4" w:space="0" w:color="auto"/>
              <w:right w:val="single" w:sz="12" w:space="0" w:color="000000"/>
            </w:tcBorders>
            <w:shd w:val="clear" w:color="auto" w:fill="F2DBDB" w:themeFill="accent2" w:themeFillTint="33"/>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Int_audit_plan</w:t>
            </w:r>
          </w:p>
        </w:tc>
        <w:tc>
          <w:tcPr>
            <w:tcW w:w="596" w:type="dxa"/>
            <w:tcBorders>
              <w:top w:val="nil"/>
              <w:left w:val="single" w:sz="12" w:space="0" w:color="000000"/>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.581</w:t>
            </w: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val="restart"/>
            <w:tcBorders>
              <w:top w:val="single" w:sz="4" w:space="0" w:color="auto"/>
              <w:left w:val="single" w:sz="12" w:space="0" w:color="000000"/>
              <w:right w:val="single" w:sz="12" w:space="0" w:color="000000"/>
            </w:tcBorders>
            <w:shd w:val="clear" w:color="auto" w:fill="DAEEF3" w:themeFill="accent5" w:themeFillTint="33"/>
            <w:vAlign w:val="center"/>
          </w:tcPr>
          <w:p w:rsidR="008C4C2A" w:rsidRPr="00CF30B3" w:rsidRDefault="008C4C2A" w:rsidP="00311AEE">
            <w:pPr>
              <w:autoSpaceDE w:val="0"/>
              <w:autoSpaceDN w:val="0"/>
              <w:adjustRightInd w:val="0"/>
              <w:ind w:left="60" w:right="60"/>
              <w:jc w:val="center"/>
              <w:rPr>
                <w:rFonts w:ascii="Times New Roman" w:hAnsi="Times New Roman" w:cs="Times New Roman"/>
                <w:b/>
                <w:color w:val="000000"/>
                <w:sz w:val="20"/>
                <w:szCs w:val="20"/>
                <w:lang w:val="en-US"/>
              </w:rPr>
            </w:pPr>
            <w:r w:rsidRPr="00CF30B3">
              <w:rPr>
                <w:rFonts w:ascii="Times New Roman" w:hAnsi="Times New Roman" w:cs="Times New Roman"/>
                <w:b/>
                <w:color w:val="000000"/>
                <w:sz w:val="20"/>
                <w:szCs w:val="20"/>
                <w:lang w:val="en-US"/>
              </w:rPr>
              <w:t>Strategic re</w:t>
            </w:r>
            <w:r w:rsidR="00521EC8" w:rsidRPr="00CF30B3">
              <w:rPr>
                <w:rFonts w:ascii="Times New Roman" w:hAnsi="Times New Roman" w:cs="Times New Roman"/>
                <w:b/>
                <w:color w:val="000000"/>
                <w:sz w:val="20"/>
                <w:szCs w:val="20"/>
                <w:lang w:val="en-US"/>
              </w:rPr>
              <w:t>s</w:t>
            </w:r>
            <w:r w:rsidRPr="00CF30B3">
              <w:rPr>
                <w:rFonts w:ascii="Times New Roman" w:hAnsi="Times New Roman" w:cs="Times New Roman"/>
                <w:b/>
                <w:color w:val="000000"/>
                <w:sz w:val="20"/>
                <w:szCs w:val="20"/>
                <w:lang w:val="en-US"/>
              </w:rPr>
              <w:t>ources</w:t>
            </w:r>
          </w:p>
        </w:tc>
        <w:tc>
          <w:tcPr>
            <w:tcW w:w="1980" w:type="dxa"/>
            <w:tcBorders>
              <w:top w:val="single" w:sz="4" w:space="0" w:color="auto"/>
              <w:left w:val="single" w:sz="12" w:space="0" w:color="000000"/>
              <w:bottom w:val="nil"/>
              <w:right w:val="single" w:sz="12" w:space="0" w:color="000000"/>
            </w:tcBorders>
            <w:shd w:val="clear" w:color="auto" w:fill="DAEEF3" w:themeFill="accent5" w:themeFillTint="33"/>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TopM_engage</w:t>
            </w:r>
          </w:p>
        </w:tc>
        <w:tc>
          <w:tcPr>
            <w:tcW w:w="596" w:type="dxa"/>
            <w:tcBorders>
              <w:top w:val="single" w:sz="4" w:space="0" w:color="auto"/>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.745</w:t>
            </w: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tcBorders>
              <w:left w:val="single" w:sz="12" w:space="0" w:color="000000"/>
              <w:right w:val="single" w:sz="12" w:space="0" w:color="000000"/>
            </w:tcBorders>
            <w:shd w:val="clear" w:color="auto" w:fill="DAEEF3" w:themeFill="accent5" w:themeFillTint="33"/>
            <w:vAlign w:val="center"/>
          </w:tcPr>
          <w:p w:rsidR="008C4C2A" w:rsidRPr="00CF30B3" w:rsidRDefault="008C4C2A"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DAEEF3" w:themeFill="accent5" w:themeFillTint="33"/>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TopM_commit</w:t>
            </w:r>
          </w:p>
        </w:tc>
        <w:tc>
          <w:tcPr>
            <w:tcW w:w="596" w:type="dxa"/>
            <w:tcBorders>
              <w:top w:val="nil"/>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.665</w:t>
            </w: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tcBorders>
              <w:left w:val="single" w:sz="12" w:space="0" w:color="000000"/>
              <w:bottom w:val="single" w:sz="4" w:space="0" w:color="auto"/>
              <w:right w:val="single" w:sz="12" w:space="0" w:color="000000"/>
            </w:tcBorders>
            <w:shd w:val="clear" w:color="auto" w:fill="DAEEF3" w:themeFill="accent5" w:themeFillTint="33"/>
            <w:vAlign w:val="center"/>
          </w:tcPr>
          <w:p w:rsidR="008C4C2A" w:rsidRPr="00CF30B3" w:rsidRDefault="008C4C2A"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single" w:sz="4" w:space="0" w:color="auto"/>
              <w:right w:val="single" w:sz="12" w:space="0" w:color="000000"/>
            </w:tcBorders>
            <w:shd w:val="clear" w:color="auto" w:fill="DAEEF3" w:themeFill="accent5" w:themeFillTint="33"/>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TopM_assess</w:t>
            </w:r>
          </w:p>
        </w:tc>
        <w:tc>
          <w:tcPr>
            <w:tcW w:w="596" w:type="dxa"/>
            <w:tcBorders>
              <w:top w:val="nil"/>
              <w:left w:val="single" w:sz="12" w:space="0" w:color="000000"/>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.635</w:t>
            </w: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70"/>
          <w:jc w:val="center"/>
        </w:trPr>
        <w:tc>
          <w:tcPr>
            <w:tcW w:w="1236" w:type="dxa"/>
            <w:vMerge w:val="restart"/>
            <w:tcBorders>
              <w:top w:val="single" w:sz="4" w:space="0" w:color="auto"/>
              <w:left w:val="single" w:sz="12" w:space="0" w:color="000000"/>
              <w:right w:val="single" w:sz="12" w:space="0" w:color="000000"/>
            </w:tcBorders>
            <w:shd w:val="clear" w:color="auto" w:fill="DDD9C3" w:themeFill="background2" w:themeFillShade="E6"/>
            <w:vAlign w:val="center"/>
          </w:tcPr>
          <w:p w:rsidR="008C4C2A" w:rsidRPr="00CF30B3" w:rsidRDefault="008C4C2A" w:rsidP="00311AEE">
            <w:pPr>
              <w:autoSpaceDE w:val="0"/>
              <w:autoSpaceDN w:val="0"/>
              <w:adjustRightInd w:val="0"/>
              <w:ind w:left="60" w:right="60"/>
              <w:jc w:val="center"/>
              <w:rPr>
                <w:rFonts w:ascii="Times New Roman" w:hAnsi="Times New Roman" w:cs="Times New Roman"/>
                <w:b/>
                <w:color w:val="000000"/>
                <w:sz w:val="20"/>
                <w:szCs w:val="20"/>
                <w:lang w:val="en-US"/>
              </w:rPr>
            </w:pPr>
            <w:r w:rsidRPr="00CF30B3">
              <w:rPr>
                <w:rFonts w:ascii="Times New Roman" w:hAnsi="Times New Roman" w:cs="Times New Roman"/>
                <w:b/>
                <w:color w:val="000000"/>
                <w:sz w:val="20"/>
                <w:szCs w:val="20"/>
                <w:lang w:val="en-US"/>
              </w:rPr>
              <w:t>Outsourcing</w:t>
            </w:r>
          </w:p>
        </w:tc>
        <w:tc>
          <w:tcPr>
            <w:tcW w:w="1980" w:type="dxa"/>
            <w:tcBorders>
              <w:top w:val="single" w:sz="4" w:space="0" w:color="auto"/>
              <w:left w:val="single" w:sz="12" w:space="0" w:color="000000"/>
              <w:bottom w:val="nil"/>
              <w:right w:val="single" w:sz="12" w:space="0" w:color="000000"/>
            </w:tcBorders>
            <w:shd w:val="clear" w:color="auto" w:fill="DDD9C3" w:themeFill="background2" w:themeFillShade="E6"/>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IntAudit_outsource</w:t>
            </w:r>
          </w:p>
        </w:tc>
        <w:tc>
          <w:tcPr>
            <w:tcW w:w="596" w:type="dxa"/>
            <w:tcBorders>
              <w:top w:val="single" w:sz="4" w:space="0" w:color="auto"/>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.863</w:t>
            </w: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F30B3">
        <w:trPr>
          <w:cantSplit/>
          <w:trHeight w:val="60"/>
          <w:jc w:val="center"/>
        </w:trPr>
        <w:tc>
          <w:tcPr>
            <w:tcW w:w="1236" w:type="dxa"/>
            <w:vMerge/>
            <w:tcBorders>
              <w:left w:val="single" w:sz="12" w:space="0" w:color="000000"/>
              <w:right w:val="single" w:sz="12" w:space="0" w:color="000000"/>
            </w:tcBorders>
            <w:shd w:val="clear" w:color="auto" w:fill="DDD9C3" w:themeFill="background2" w:themeFillShade="E6"/>
            <w:vAlign w:val="center"/>
          </w:tcPr>
          <w:p w:rsidR="008C4C2A" w:rsidRPr="00CF30B3" w:rsidRDefault="008C4C2A" w:rsidP="00311AEE">
            <w:pPr>
              <w:autoSpaceDE w:val="0"/>
              <w:autoSpaceDN w:val="0"/>
              <w:adjustRightInd w:val="0"/>
              <w:ind w:left="60" w:right="60"/>
              <w:jc w:val="center"/>
              <w:rPr>
                <w:rFonts w:ascii="Times New Roman" w:hAnsi="Times New Roman" w:cs="Times New Roman"/>
                <w:b/>
                <w:color w:val="000000"/>
                <w:sz w:val="20"/>
                <w:szCs w:val="20"/>
                <w:lang w:val="en-US"/>
              </w:rPr>
            </w:pPr>
          </w:p>
        </w:tc>
        <w:tc>
          <w:tcPr>
            <w:tcW w:w="1980" w:type="dxa"/>
            <w:tcBorders>
              <w:top w:val="nil"/>
              <w:left w:val="single" w:sz="12" w:space="0" w:color="000000"/>
              <w:bottom w:val="nil"/>
              <w:right w:val="single" w:sz="12" w:space="0" w:color="000000"/>
            </w:tcBorders>
            <w:shd w:val="clear" w:color="auto" w:fill="DDD9C3" w:themeFill="background2" w:themeFillShade="E6"/>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ExtAudit_outsource</w:t>
            </w:r>
          </w:p>
        </w:tc>
        <w:tc>
          <w:tcPr>
            <w:tcW w:w="596" w:type="dxa"/>
            <w:tcBorders>
              <w:top w:val="nil"/>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.845</w:t>
            </w: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tcBorders>
              <w:left w:val="single" w:sz="12" w:space="0" w:color="000000"/>
              <w:bottom w:val="single" w:sz="4" w:space="0" w:color="auto"/>
              <w:right w:val="single" w:sz="12" w:space="0" w:color="000000"/>
            </w:tcBorders>
            <w:shd w:val="clear" w:color="auto" w:fill="DDD9C3" w:themeFill="background2" w:themeFillShade="E6"/>
            <w:vAlign w:val="center"/>
          </w:tcPr>
          <w:p w:rsidR="008C4C2A" w:rsidRPr="00CF30B3" w:rsidRDefault="008C4C2A" w:rsidP="00311AEE">
            <w:pPr>
              <w:autoSpaceDE w:val="0"/>
              <w:autoSpaceDN w:val="0"/>
              <w:adjustRightInd w:val="0"/>
              <w:ind w:left="60" w:right="60"/>
              <w:jc w:val="center"/>
              <w:rPr>
                <w:rFonts w:ascii="Times New Roman" w:hAnsi="Times New Roman" w:cs="Times New Roman"/>
                <w:b/>
                <w:color w:val="000000"/>
                <w:sz w:val="20"/>
                <w:szCs w:val="20"/>
                <w:lang w:val="en-US"/>
              </w:rPr>
            </w:pPr>
          </w:p>
        </w:tc>
        <w:tc>
          <w:tcPr>
            <w:tcW w:w="1980" w:type="dxa"/>
            <w:tcBorders>
              <w:top w:val="nil"/>
              <w:left w:val="single" w:sz="12" w:space="0" w:color="000000"/>
              <w:bottom w:val="single" w:sz="4" w:space="0" w:color="auto"/>
              <w:right w:val="single" w:sz="12" w:space="0" w:color="000000"/>
            </w:tcBorders>
            <w:shd w:val="clear" w:color="auto" w:fill="DDD9C3" w:themeFill="background2" w:themeFillShade="E6"/>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MS_outsource</w:t>
            </w:r>
          </w:p>
        </w:tc>
        <w:tc>
          <w:tcPr>
            <w:tcW w:w="596" w:type="dxa"/>
            <w:tcBorders>
              <w:top w:val="nil"/>
              <w:left w:val="single" w:sz="12" w:space="0" w:color="000000"/>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.830</w:t>
            </w: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val="restart"/>
            <w:tcBorders>
              <w:top w:val="single" w:sz="4" w:space="0" w:color="auto"/>
              <w:left w:val="single" w:sz="12" w:space="0" w:color="000000"/>
              <w:right w:val="single" w:sz="12" w:space="0" w:color="000000"/>
            </w:tcBorders>
            <w:shd w:val="clear" w:color="auto" w:fill="B8CCE4" w:themeFill="accent1" w:themeFillTint="66"/>
            <w:vAlign w:val="center"/>
          </w:tcPr>
          <w:p w:rsidR="008C4C2A" w:rsidRPr="00CF30B3" w:rsidRDefault="008C4C2A" w:rsidP="00311AEE">
            <w:pPr>
              <w:autoSpaceDE w:val="0"/>
              <w:autoSpaceDN w:val="0"/>
              <w:adjustRightInd w:val="0"/>
              <w:ind w:left="60" w:right="60"/>
              <w:jc w:val="center"/>
              <w:rPr>
                <w:rFonts w:ascii="Times New Roman" w:hAnsi="Times New Roman" w:cs="Times New Roman"/>
                <w:b/>
                <w:color w:val="000000"/>
                <w:sz w:val="20"/>
                <w:szCs w:val="20"/>
                <w:lang w:val="en-US"/>
              </w:rPr>
            </w:pPr>
            <w:r w:rsidRPr="00CF30B3">
              <w:rPr>
                <w:rFonts w:ascii="Times New Roman" w:hAnsi="Times New Roman" w:cs="Times New Roman"/>
                <w:b/>
                <w:color w:val="000000"/>
                <w:sz w:val="20"/>
                <w:szCs w:val="20"/>
                <w:lang w:val="en-US"/>
              </w:rPr>
              <w:t>Information systems</w:t>
            </w:r>
          </w:p>
        </w:tc>
        <w:tc>
          <w:tcPr>
            <w:tcW w:w="1980" w:type="dxa"/>
            <w:tcBorders>
              <w:top w:val="single" w:sz="4" w:space="0" w:color="auto"/>
              <w:left w:val="single" w:sz="12" w:space="0" w:color="000000"/>
              <w:bottom w:val="nil"/>
              <w:right w:val="single" w:sz="12" w:space="0" w:color="000000"/>
            </w:tcBorders>
            <w:shd w:val="clear" w:color="auto" w:fill="B8CCE4" w:themeFill="accent1" w:themeFillTint="66"/>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Big_Data</w:t>
            </w:r>
          </w:p>
        </w:tc>
        <w:tc>
          <w:tcPr>
            <w:tcW w:w="596" w:type="dxa"/>
            <w:tcBorders>
              <w:top w:val="single" w:sz="4" w:space="0" w:color="auto"/>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.873</w:t>
            </w:r>
          </w:p>
        </w:tc>
        <w:tc>
          <w:tcPr>
            <w:tcW w:w="540" w:type="dxa"/>
            <w:tcBorders>
              <w:top w:val="single" w:sz="4" w:space="0" w:color="auto"/>
              <w:bottom w:val="nil"/>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60"/>
          <w:jc w:val="center"/>
        </w:trPr>
        <w:tc>
          <w:tcPr>
            <w:tcW w:w="1236" w:type="dxa"/>
            <w:vMerge/>
            <w:tcBorders>
              <w:left w:val="single" w:sz="12" w:space="0" w:color="000000"/>
              <w:right w:val="single" w:sz="12" w:space="0" w:color="000000"/>
            </w:tcBorders>
            <w:shd w:val="clear" w:color="auto" w:fill="B8CCE4" w:themeFill="accent1" w:themeFillTint="66"/>
            <w:vAlign w:val="center"/>
          </w:tcPr>
          <w:p w:rsidR="008C4C2A" w:rsidRPr="00CF30B3" w:rsidRDefault="008C4C2A"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B8CCE4" w:themeFill="accent1" w:themeFillTint="66"/>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DSS</w:t>
            </w:r>
          </w:p>
        </w:tc>
        <w:tc>
          <w:tcPr>
            <w:tcW w:w="596" w:type="dxa"/>
            <w:tcBorders>
              <w:top w:val="nil"/>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.785</w:t>
            </w:r>
          </w:p>
        </w:tc>
        <w:tc>
          <w:tcPr>
            <w:tcW w:w="540" w:type="dxa"/>
            <w:tcBorders>
              <w:top w:val="nil"/>
              <w:bottom w:val="nil"/>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60"/>
          <w:jc w:val="center"/>
        </w:trPr>
        <w:tc>
          <w:tcPr>
            <w:tcW w:w="1236" w:type="dxa"/>
            <w:vMerge/>
            <w:tcBorders>
              <w:left w:val="single" w:sz="12" w:space="0" w:color="000000"/>
              <w:bottom w:val="single" w:sz="4" w:space="0" w:color="auto"/>
              <w:right w:val="single" w:sz="12" w:space="0" w:color="000000"/>
            </w:tcBorders>
            <w:shd w:val="clear" w:color="auto" w:fill="B8CCE4" w:themeFill="accent1" w:themeFillTint="66"/>
            <w:vAlign w:val="center"/>
          </w:tcPr>
          <w:p w:rsidR="008C4C2A" w:rsidRPr="00CF30B3" w:rsidRDefault="008C4C2A"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single" w:sz="4" w:space="0" w:color="auto"/>
              <w:right w:val="single" w:sz="12" w:space="0" w:color="000000"/>
            </w:tcBorders>
            <w:shd w:val="clear" w:color="auto" w:fill="B8CCE4" w:themeFill="accent1" w:themeFillTint="66"/>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ERP</w:t>
            </w:r>
          </w:p>
        </w:tc>
        <w:tc>
          <w:tcPr>
            <w:tcW w:w="596" w:type="dxa"/>
            <w:tcBorders>
              <w:top w:val="nil"/>
              <w:left w:val="single" w:sz="12" w:space="0" w:color="000000"/>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4" w:space="0" w:color="auto"/>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.708</w:t>
            </w:r>
          </w:p>
        </w:tc>
        <w:tc>
          <w:tcPr>
            <w:tcW w:w="540" w:type="dxa"/>
            <w:tcBorders>
              <w:top w:val="nil"/>
              <w:bottom w:val="single" w:sz="4" w:space="0" w:color="auto"/>
              <w:right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r>
      <w:tr w:rsidR="008C4C2A" w:rsidRPr="00CF30B3" w:rsidTr="00C1414A">
        <w:trPr>
          <w:cantSplit/>
          <w:trHeight w:val="216"/>
          <w:jc w:val="center"/>
        </w:trPr>
        <w:tc>
          <w:tcPr>
            <w:tcW w:w="1236" w:type="dxa"/>
            <w:vMerge w:val="restart"/>
            <w:tcBorders>
              <w:top w:val="single" w:sz="4" w:space="0" w:color="auto"/>
              <w:left w:val="single" w:sz="12" w:space="0" w:color="000000"/>
              <w:right w:val="single" w:sz="12" w:space="0" w:color="000000"/>
            </w:tcBorders>
            <w:shd w:val="clear" w:color="auto" w:fill="FBD4B4" w:themeFill="accent6" w:themeFillTint="66"/>
            <w:vAlign w:val="center"/>
          </w:tcPr>
          <w:p w:rsidR="008C4C2A" w:rsidRPr="00CF30B3" w:rsidRDefault="008C4C2A" w:rsidP="00311AEE">
            <w:pPr>
              <w:autoSpaceDE w:val="0"/>
              <w:autoSpaceDN w:val="0"/>
              <w:adjustRightInd w:val="0"/>
              <w:ind w:left="60" w:right="60"/>
              <w:jc w:val="center"/>
              <w:rPr>
                <w:rFonts w:ascii="Times New Roman" w:hAnsi="Times New Roman" w:cs="Times New Roman"/>
                <w:b/>
                <w:color w:val="000000"/>
                <w:sz w:val="20"/>
                <w:szCs w:val="20"/>
                <w:lang w:val="en-US"/>
              </w:rPr>
            </w:pPr>
            <w:r w:rsidRPr="00CF30B3">
              <w:rPr>
                <w:rFonts w:ascii="Times New Roman" w:hAnsi="Times New Roman" w:cs="Times New Roman"/>
                <w:b/>
                <w:color w:val="000000"/>
                <w:sz w:val="20"/>
                <w:szCs w:val="20"/>
                <w:lang w:val="en-US"/>
              </w:rPr>
              <w:t>Integration tools</w:t>
            </w:r>
          </w:p>
        </w:tc>
        <w:tc>
          <w:tcPr>
            <w:tcW w:w="1980" w:type="dxa"/>
            <w:tcBorders>
              <w:top w:val="single" w:sz="4" w:space="0" w:color="auto"/>
              <w:left w:val="single" w:sz="12" w:space="0" w:color="000000"/>
              <w:bottom w:val="nil"/>
              <w:right w:val="single" w:sz="12" w:space="0" w:color="000000"/>
            </w:tcBorders>
            <w:shd w:val="clear" w:color="auto" w:fill="FBD4B4" w:themeFill="accent6" w:themeFillTint="66"/>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Common_elements</w:t>
            </w:r>
          </w:p>
        </w:tc>
        <w:tc>
          <w:tcPr>
            <w:tcW w:w="596" w:type="dxa"/>
            <w:tcBorders>
              <w:top w:val="single" w:sz="4" w:space="0" w:color="auto"/>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single" w:sz="4" w:space="0" w:color="auto"/>
              <w:bottom w:val="nil"/>
              <w:right w:val="single" w:sz="12" w:space="0" w:color="000000"/>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.758</w:t>
            </w:r>
          </w:p>
        </w:tc>
      </w:tr>
      <w:tr w:rsidR="008C4C2A" w:rsidRPr="00CF30B3" w:rsidTr="00521EC8">
        <w:trPr>
          <w:cantSplit/>
          <w:trHeight w:val="216"/>
          <w:jc w:val="center"/>
        </w:trPr>
        <w:tc>
          <w:tcPr>
            <w:tcW w:w="1236" w:type="dxa"/>
            <w:vMerge/>
            <w:tcBorders>
              <w:left w:val="single" w:sz="12" w:space="0" w:color="000000"/>
              <w:right w:val="single" w:sz="12" w:space="0" w:color="000000"/>
            </w:tcBorders>
            <w:shd w:val="clear" w:color="auto" w:fill="FBD4B4" w:themeFill="accent6" w:themeFillTint="66"/>
            <w:vAlign w:val="center"/>
          </w:tcPr>
          <w:p w:rsidR="008C4C2A" w:rsidRPr="00CF30B3" w:rsidRDefault="008C4C2A"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nil"/>
              <w:right w:val="single" w:sz="12" w:space="0" w:color="000000"/>
            </w:tcBorders>
            <w:shd w:val="clear" w:color="auto" w:fill="FBD4B4" w:themeFill="accent6" w:themeFillTint="66"/>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Common_frame</w:t>
            </w:r>
          </w:p>
        </w:tc>
        <w:tc>
          <w:tcPr>
            <w:tcW w:w="596" w:type="dxa"/>
            <w:tcBorders>
              <w:top w:val="nil"/>
              <w:left w:val="single" w:sz="12" w:space="0" w:color="000000"/>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nil"/>
              <w:right w:val="single" w:sz="12" w:space="0" w:color="000000"/>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.725</w:t>
            </w:r>
          </w:p>
        </w:tc>
      </w:tr>
      <w:tr w:rsidR="008C4C2A" w:rsidRPr="00CF30B3" w:rsidTr="00521EC8">
        <w:trPr>
          <w:cantSplit/>
          <w:trHeight w:val="216"/>
          <w:jc w:val="center"/>
        </w:trPr>
        <w:tc>
          <w:tcPr>
            <w:tcW w:w="1236" w:type="dxa"/>
            <w:vMerge/>
            <w:tcBorders>
              <w:left w:val="single" w:sz="12" w:space="0" w:color="000000"/>
              <w:bottom w:val="single" w:sz="12" w:space="0" w:color="000000"/>
              <w:right w:val="single" w:sz="12" w:space="0" w:color="000000"/>
            </w:tcBorders>
            <w:shd w:val="clear" w:color="auto" w:fill="FBD4B4" w:themeFill="accent6" w:themeFillTint="66"/>
            <w:vAlign w:val="center"/>
          </w:tcPr>
          <w:p w:rsidR="008C4C2A" w:rsidRPr="00CF30B3" w:rsidRDefault="008C4C2A" w:rsidP="00311AEE">
            <w:pPr>
              <w:autoSpaceDE w:val="0"/>
              <w:autoSpaceDN w:val="0"/>
              <w:adjustRightInd w:val="0"/>
              <w:ind w:left="60" w:right="60"/>
              <w:jc w:val="center"/>
              <w:rPr>
                <w:rFonts w:ascii="Times New Roman" w:hAnsi="Times New Roman" w:cs="Times New Roman"/>
                <w:color w:val="000000"/>
                <w:sz w:val="20"/>
                <w:szCs w:val="20"/>
                <w:lang w:val="en-US"/>
              </w:rPr>
            </w:pPr>
          </w:p>
        </w:tc>
        <w:tc>
          <w:tcPr>
            <w:tcW w:w="1980" w:type="dxa"/>
            <w:tcBorders>
              <w:top w:val="nil"/>
              <w:left w:val="single" w:sz="12" w:space="0" w:color="000000"/>
              <w:bottom w:val="single" w:sz="12" w:space="0" w:color="000000"/>
              <w:right w:val="single" w:sz="12" w:space="0" w:color="000000"/>
            </w:tcBorders>
            <w:shd w:val="clear" w:color="auto" w:fill="FBD4B4" w:themeFill="accent6" w:themeFillTint="66"/>
            <w:vAlign w:val="center"/>
          </w:tcPr>
          <w:p w:rsidR="008C4C2A" w:rsidRPr="00CF30B3" w:rsidRDefault="008C4C2A" w:rsidP="00311AEE">
            <w:pPr>
              <w:autoSpaceDE w:val="0"/>
              <w:autoSpaceDN w:val="0"/>
              <w:adjustRightInd w:val="0"/>
              <w:ind w:left="60" w:right="60"/>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Process_map</w:t>
            </w:r>
          </w:p>
        </w:tc>
        <w:tc>
          <w:tcPr>
            <w:tcW w:w="596" w:type="dxa"/>
            <w:tcBorders>
              <w:top w:val="nil"/>
              <w:left w:val="single" w:sz="12" w:space="0" w:color="000000"/>
              <w:bottom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12" w:space="0" w:color="000000"/>
            </w:tcBorders>
            <w:shd w:val="clear" w:color="auto" w:fill="FFFFFF"/>
            <w:vAlign w:val="center"/>
          </w:tcPr>
          <w:p w:rsidR="008C4C2A" w:rsidRPr="00CF30B3" w:rsidRDefault="008C4C2A" w:rsidP="00311AEE">
            <w:pPr>
              <w:autoSpaceDE w:val="0"/>
              <w:autoSpaceDN w:val="0"/>
              <w:adjustRightInd w:val="0"/>
              <w:jc w:val="right"/>
              <w:rPr>
                <w:rFonts w:ascii="Times New Roman" w:hAnsi="Times New Roman" w:cs="Times New Roman"/>
                <w:sz w:val="20"/>
                <w:szCs w:val="20"/>
                <w:lang w:val="en-US"/>
              </w:rPr>
            </w:pPr>
          </w:p>
        </w:tc>
        <w:tc>
          <w:tcPr>
            <w:tcW w:w="540" w:type="dxa"/>
            <w:tcBorders>
              <w:top w:val="nil"/>
              <w:bottom w:val="single" w:sz="12" w:space="0" w:color="000000"/>
              <w:right w:val="single" w:sz="12" w:space="0" w:color="000000"/>
            </w:tcBorders>
            <w:shd w:val="clear" w:color="auto" w:fill="FFFFFF"/>
            <w:vAlign w:val="center"/>
          </w:tcPr>
          <w:p w:rsidR="008C4C2A" w:rsidRPr="00CF30B3" w:rsidRDefault="008C4C2A" w:rsidP="00311AEE">
            <w:pPr>
              <w:autoSpaceDE w:val="0"/>
              <w:autoSpaceDN w:val="0"/>
              <w:adjustRightInd w:val="0"/>
              <w:ind w:left="60" w:right="60"/>
              <w:jc w:val="right"/>
              <w:rPr>
                <w:rFonts w:ascii="Times New Roman" w:hAnsi="Times New Roman" w:cs="Times New Roman"/>
                <w:color w:val="000000"/>
                <w:sz w:val="20"/>
                <w:szCs w:val="20"/>
                <w:lang w:val="en-US"/>
              </w:rPr>
            </w:pPr>
            <w:r w:rsidRPr="00CF30B3">
              <w:rPr>
                <w:rFonts w:ascii="Times New Roman" w:hAnsi="Times New Roman" w:cs="Times New Roman"/>
                <w:color w:val="000000"/>
                <w:sz w:val="20"/>
                <w:szCs w:val="20"/>
                <w:lang w:val="en-US"/>
              </w:rPr>
              <w:t>.553</w:t>
            </w:r>
          </w:p>
        </w:tc>
      </w:tr>
    </w:tbl>
    <w:p w:rsidR="007A6C05" w:rsidRDefault="009E79E5" w:rsidP="00C1414A">
      <w:pPr>
        <w:autoSpaceDE w:val="0"/>
        <w:autoSpaceDN w:val="0"/>
        <w:adjustRightInd w:val="0"/>
        <w:spacing w:after="120"/>
        <w:jc w:val="center"/>
        <w:rPr>
          <w:rFonts w:ascii="Times New Roman" w:hAnsi="Times New Roman" w:cs="Times New Roman"/>
          <w:sz w:val="24"/>
          <w:szCs w:val="24"/>
          <w:lang w:val="en-US"/>
        </w:rPr>
      </w:pPr>
      <w:r>
        <w:rPr>
          <w:rFonts w:ascii="Times New Roman" w:hAnsi="Times New Roman" w:cs="Times New Roman"/>
          <w:noProof/>
          <w:sz w:val="24"/>
          <w:szCs w:val="24"/>
          <w:lang w:eastAsia="fr-FR"/>
        </w:rPr>
        <w:lastRenderedPageBreak/>
        <w:drawing>
          <wp:inline distT="0" distB="0" distL="0" distR="0">
            <wp:extent cx="4403725" cy="3302794"/>
            <wp:effectExtent l="19050" t="0" r="0" b="0"/>
            <wp:docPr id="6" name="5 - Εικόνα" descr="Internaliz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ization2.jpg"/>
                    <pic:cNvPicPr/>
                  </pic:nvPicPr>
                  <pic:blipFill>
                    <a:blip r:embed="rId8" cstate="print"/>
                    <a:stretch>
                      <a:fillRect/>
                    </a:stretch>
                  </pic:blipFill>
                  <pic:spPr>
                    <a:xfrm>
                      <a:off x="0" y="0"/>
                      <a:ext cx="4405665" cy="3304249"/>
                    </a:xfrm>
                    <a:prstGeom prst="rect">
                      <a:avLst/>
                    </a:prstGeom>
                  </pic:spPr>
                </pic:pic>
              </a:graphicData>
            </a:graphic>
          </wp:inline>
        </w:drawing>
      </w:r>
    </w:p>
    <w:p w:rsidR="007A6C05" w:rsidRPr="00C1414A" w:rsidRDefault="009E79E5" w:rsidP="00C1414A">
      <w:pPr>
        <w:autoSpaceDE w:val="0"/>
        <w:autoSpaceDN w:val="0"/>
        <w:adjustRightInd w:val="0"/>
        <w:spacing w:after="120"/>
        <w:ind w:firstLine="720"/>
        <w:jc w:val="both"/>
        <w:rPr>
          <w:rFonts w:ascii="Times New Roman" w:hAnsi="Times New Roman" w:cs="Times New Roman"/>
          <w:sz w:val="20"/>
          <w:szCs w:val="20"/>
          <w:lang w:val="en-US"/>
        </w:rPr>
      </w:pPr>
      <w:proofErr w:type="gramStart"/>
      <w:r w:rsidRPr="00E94AA9">
        <w:rPr>
          <w:rFonts w:ascii="Times New Roman" w:hAnsi="Times New Roman" w:cs="Times New Roman"/>
          <w:b/>
          <w:sz w:val="20"/>
          <w:szCs w:val="20"/>
          <w:lang w:val="en-US"/>
        </w:rPr>
        <w:t>Figure 1.</w:t>
      </w:r>
      <w:proofErr w:type="gramEnd"/>
      <w:r w:rsidRPr="00E94AA9">
        <w:rPr>
          <w:rFonts w:ascii="Times New Roman" w:hAnsi="Times New Roman" w:cs="Times New Roman"/>
          <w:sz w:val="20"/>
          <w:szCs w:val="20"/>
          <w:lang w:val="en-US"/>
        </w:rPr>
        <w:t xml:space="preserve"> Internalization factors</w:t>
      </w:r>
    </w:p>
    <w:p w:rsidR="007A6C05" w:rsidRDefault="007A6C05" w:rsidP="0040780B">
      <w:pPr>
        <w:autoSpaceDE w:val="0"/>
        <w:autoSpaceDN w:val="0"/>
        <w:adjustRightInd w:val="0"/>
        <w:spacing w:after="120"/>
        <w:ind w:firstLine="288"/>
        <w:jc w:val="both"/>
        <w:rPr>
          <w:rFonts w:ascii="Times New Roman" w:hAnsi="Times New Roman" w:cs="Times New Roman"/>
          <w:sz w:val="24"/>
          <w:szCs w:val="24"/>
          <w:lang w:val="en-US"/>
        </w:rPr>
      </w:pPr>
    </w:p>
    <w:p w:rsidR="007B459D" w:rsidRDefault="009920F4" w:rsidP="0040780B">
      <w:pPr>
        <w:autoSpaceDE w:val="0"/>
        <w:autoSpaceDN w:val="0"/>
        <w:adjustRightInd w:val="0"/>
        <w:spacing w:after="12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Respectively, for corporat</w:t>
      </w:r>
      <w:r w:rsidR="00B05EF5">
        <w:rPr>
          <w:rFonts w:ascii="Times New Roman" w:hAnsi="Times New Roman" w:cs="Times New Roman"/>
          <w:sz w:val="24"/>
          <w:szCs w:val="24"/>
          <w:lang w:val="en-US"/>
        </w:rPr>
        <w:t xml:space="preserve">e sustainability performance </w:t>
      </w:r>
      <w:r w:rsidRPr="008751F4">
        <w:rPr>
          <w:rFonts w:ascii="Times New Roman" w:hAnsi="Times New Roman" w:cs="Times New Roman"/>
          <w:sz w:val="24"/>
          <w:szCs w:val="24"/>
          <w:lang w:val="en-US"/>
        </w:rPr>
        <w:t>varimax rotation identified six</w:t>
      </w:r>
      <w:r w:rsidR="00D13F11" w:rsidRPr="008751F4">
        <w:rPr>
          <w:rFonts w:ascii="Times New Roman" w:hAnsi="Times New Roman" w:cs="Times New Roman"/>
          <w:sz w:val="24"/>
          <w:szCs w:val="24"/>
          <w:lang w:val="en-US"/>
        </w:rPr>
        <w:t xml:space="preserve"> latent factors that may be labeled customer-supplier relationship, employees, environment, </w:t>
      </w:r>
      <w:r w:rsidR="005655DE">
        <w:rPr>
          <w:rFonts w:ascii="Times New Roman" w:hAnsi="Times New Roman" w:cs="Times New Roman"/>
          <w:sz w:val="24"/>
          <w:szCs w:val="24"/>
          <w:lang w:val="en-US"/>
        </w:rPr>
        <w:t>financial institution</w:t>
      </w:r>
      <w:r w:rsidR="00D13F11" w:rsidRPr="008751F4">
        <w:rPr>
          <w:rFonts w:ascii="Times New Roman" w:hAnsi="Times New Roman" w:cs="Times New Roman"/>
          <w:sz w:val="24"/>
          <w:szCs w:val="24"/>
          <w:lang w:val="en-US"/>
        </w:rPr>
        <w:t xml:space="preserve">s, </w:t>
      </w:r>
      <w:r w:rsidR="008751F4">
        <w:rPr>
          <w:rFonts w:ascii="Times New Roman" w:hAnsi="Times New Roman" w:cs="Times New Roman"/>
          <w:sz w:val="24"/>
          <w:szCs w:val="24"/>
          <w:lang w:val="en-US"/>
        </w:rPr>
        <w:t>society and state</w:t>
      </w:r>
      <w:r w:rsidR="00B05EF5">
        <w:rPr>
          <w:rFonts w:ascii="Times New Roman" w:hAnsi="Times New Roman" w:cs="Times New Roman"/>
          <w:sz w:val="24"/>
          <w:szCs w:val="24"/>
          <w:lang w:val="en-US"/>
        </w:rPr>
        <w:t xml:space="preserve"> (see Fig. 2)</w:t>
      </w:r>
      <w:r w:rsidR="008751F4">
        <w:rPr>
          <w:rFonts w:ascii="Times New Roman" w:hAnsi="Times New Roman" w:cs="Times New Roman"/>
          <w:sz w:val="24"/>
          <w:szCs w:val="24"/>
          <w:lang w:val="en-US"/>
        </w:rPr>
        <w:t>.</w:t>
      </w:r>
      <w:r w:rsidR="0004385A">
        <w:rPr>
          <w:rFonts w:ascii="Times New Roman" w:hAnsi="Times New Roman" w:cs="Times New Roman"/>
          <w:sz w:val="24"/>
          <w:szCs w:val="24"/>
          <w:lang w:val="en-US"/>
        </w:rPr>
        <w:t xml:space="preserve"> </w:t>
      </w:r>
      <w:r w:rsidR="009E79E5">
        <w:rPr>
          <w:rFonts w:ascii="Times New Roman" w:hAnsi="Times New Roman" w:cs="Times New Roman"/>
          <w:sz w:val="24"/>
          <w:szCs w:val="24"/>
          <w:lang w:val="en-US"/>
        </w:rPr>
        <w:t>Rotated comp</w:t>
      </w:r>
      <w:r w:rsidR="00421EEC">
        <w:rPr>
          <w:rFonts w:ascii="Times New Roman" w:hAnsi="Times New Roman" w:cs="Times New Roman"/>
          <w:sz w:val="24"/>
          <w:szCs w:val="24"/>
          <w:lang w:val="en-US"/>
        </w:rPr>
        <w:t>onent matrix is shown in Table 1</w:t>
      </w:r>
      <w:r w:rsidR="009E79E5">
        <w:rPr>
          <w:rFonts w:ascii="Times New Roman" w:hAnsi="Times New Roman" w:cs="Times New Roman"/>
          <w:sz w:val="24"/>
          <w:szCs w:val="24"/>
          <w:lang w:val="en-US"/>
        </w:rPr>
        <w:t>b.</w:t>
      </w:r>
    </w:p>
    <w:p w:rsidR="00F64F63" w:rsidRDefault="00421EEC" w:rsidP="00105EEB">
      <w:pPr>
        <w:autoSpaceDE w:val="0"/>
        <w:autoSpaceDN w:val="0"/>
        <w:adjustRightInd w:val="0"/>
        <w:spacing w:after="120"/>
        <w:rPr>
          <w:rFonts w:ascii="Times New Roman" w:hAnsi="Times New Roman" w:cs="Times New Roman"/>
          <w:sz w:val="20"/>
          <w:szCs w:val="20"/>
          <w:lang w:val="el-GR"/>
        </w:rPr>
      </w:pPr>
      <w:proofErr w:type="gramStart"/>
      <w:r>
        <w:rPr>
          <w:rFonts w:ascii="Times New Roman" w:hAnsi="Times New Roman" w:cs="Times New Roman"/>
          <w:b/>
          <w:sz w:val="20"/>
          <w:szCs w:val="20"/>
          <w:lang w:val="en-US"/>
        </w:rPr>
        <w:t>Table 1</w:t>
      </w:r>
      <w:r w:rsidR="00092175" w:rsidRPr="009E79E5">
        <w:rPr>
          <w:rFonts w:ascii="Times New Roman" w:hAnsi="Times New Roman" w:cs="Times New Roman"/>
          <w:b/>
          <w:sz w:val="20"/>
          <w:szCs w:val="20"/>
          <w:lang w:val="en-US"/>
        </w:rPr>
        <w:t>b</w:t>
      </w:r>
      <w:r w:rsidR="00377129" w:rsidRPr="009E79E5">
        <w:rPr>
          <w:rFonts w:ascii="Times New Roman" w:hAnsi="Times New Roman" w:cs="Times New Roman"/>
          <w:b/>
          <w:sz w:val="20"/>
          <w:szCs w:val="20"/>
          <w:lang w:val="en-US"/>
        </w:rPr>
        <w:t>.</w:t>
      </w:r>
      <w:proofErr w:type="gramEnd"/>
      <w:r w:rsidR="00377129" w:rsidRPr="009E79E5">
        <w:rPr>
          <w:rFonts w:ascii="Times New Roman" w:hAnsi="Times New Roman" w:cs="Times New Roman"/>
          <w:b/>
          <w:sz w:val="20"/>
          <w:szCs w:val="20"/>
          <w:lang w:val="en-US"/>
        </w:rPr>
        <w:t xml:space="preserve"> </w:t>
      </w:r>
      <w:r w:rsidR="00377129" w:rsidRPr="009E79E5">
        <w:rPr>
          <w:rFonts w:ascii="Times New Roman" w:hAnsi="Times New Roman" w:cs="Times New Roman"/>
          <w:sz w:val="20"/>
          <w:szCs w:val="20"/>
          <w:lang w:val="en-US"/>
        </w:rPr>
        <w:t xml:space="preserve">Corporate Sustainability Performance - </w:t>
      </w:r>
      <w:r w:rsidR="00F64F63" w:rsidRPr="009E79E5">
        <w:rPr>
          <w:rFonts w:ascii="Times New Roman" w:hAnsi="Times New Roman" w:cs="Times New Roman"/>
          <w:sz w:val="20"/>
          <w:szCs w:val="20"/>
          <w:lang w:val="en-US"/>
        </w:rPr>
        <w:t>Rotated component matrix</w:t>
      </w:r>
    </w:p>
    <w:p w:rsidR="00570AF4" w:rsidRPr="00570AF4" w:rsidRDefault="00570AF4" w:rsidP="00105EEB">
      <w:pPr>
        <w:autoSpaceDE w:val="0"/>
        <w:autoSpaceDN w:val="0"/>
        <w:adjustRightInd w:val="0"/>
        <w:spacing w:after="120"/>
        <w:rPr>
          <w:rFonts w:ascii="Times New Roman" w:hAnsi="Times New Roman" w:cs="Times New Roman"/>
          <w:b/>
          <w:sz w:val="20"/>
          <w:szCs w:val="20"/>
          <w:lang w:val="el-GR"/>
        </w:rPr>
      </w:pPr>
    </w:p>
    <w:tbl>
      <w:tblPr>
        <w:tblW w:w="8003" w:type="dxa"/>
        <w:jc w:val="center"/>
        <w:tblInd w:w="93" w:type="dxa"/>
        <w:tblLayout w:type="fixed"/>
        <w:tblLook w:val="04A0"/>
      </w:tblPr>
      <w:tblGrid>
        <w:gridCol w:w="1587"/>
        <w:gridCol w:w="2574"/>
        <w:gridCol w:w="618"/>
        <w:gridCol w:w="712"/>
        <w:gridCol w:w="630"/>
        <w:gridCol w:w="617"/>
        <w:gridCol w:w="616"/>
        <w:gridCol w:w="649"/>
      </w:tblGrid>
      <w:tr w:rsidR="008622CA" w:rsidRPr="00CF30B3" w:rsidTr="00CF30B3">
        <w:trPr>
          <w:trHeight w:val="107"/>
          <w:tblHeader/>
          <w:jc w:val="center"/>
        </w:trPr>
        <w:tc>
          <w:tcPr>
            <w:tcW w:w="1587" w:type="dxa"/>
            <w:vMerge w:val="restart"/>
            <w:tcBorders>
              <w:top w:val="single" w:sz="12" w:space="0" w:color="000000"/>
              <w:left w:val="single" w:sz="12" w:space="0" w:color="000000"/>
              <w:right w:val="single" w:sz="12" w:space="0" w:color="000000"/>
            </w:tcBorders>
            <w:vAlign w:val="center"/>
          </w:tcPr>
          <w:p w:rsidR="008622CA" w:rsidRPr="00CF30B3" w:rsidRDefault="00FD145E" w:rsidP="00FD145E">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Factors</w:t>
            </w:r>
          </w:p>
        </w:tc>
        <w:tc>
          <w:tcPr>
            <w:tcW w:w="2574" w:type="dxa"/>
            <w:vMerge w:val="restart"/>
            <w:tcBorders>
              <w:top w:val="single" w:sz="12" w:space="0" w:color="000000"/>
              <w:left w:val="single" w:sz="12" w:space="0" w:color="000000"/>
              <w:bottom w:val="single" w:sz="12" w:space="0" w:color="000000"/>
              <w:right w:val="single" w:sz="12" w:space="0" w:color="000000"/>
            </w:tcBorders>
            <w:vAlign w:val="center"/>
            <w:hideMark/>
          </w:tcPr>
          <w:p w:rsidR="008622CA" w:rsidRPr="00CF30B3" w:rsidRDefault="00FD145E" w:rsidP="00FD145E">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Items</w:t>
            </w:r>
          </w:p>
        </w:tc>
        <w:tc>
          <w:tcPr>
            <w:tcW w:w="3842" w:type="dxa"/>
            <w:gridSpan w:val="6"/>
            <w:tcBorders>
              <w:top w:val="single" w:sz="12" w:space="0" w:color="000000"/>
              <w:left w:val="nil"/>
              <w:bottom w:val="single" w:sz="4" w:space="0" w:color="000000"/>
              <w:right w:val="single" w:sz="12" w:space="0" w:color="000000"/>
            </w:tcBorders>
            <w:shd w:val="clear" w:color="auto" w:fill="auto"/>
            <w:vAlign w:val="center"/>
            <w:hideMark/>
          </w:tcPr>
          <w:p w:rsidR="008622CA" w:rsidRPr="00CF30B3" w:rsidRDefault="008622CA" w:rsidP="00FD145E">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Component</w:t>
            </w:r>
          </w:p>
        </w:tc>
      </w:tr>
      <w:tr w:rsidR="008622CA" w:rsidRPr="00CF30B3" w:rsidTr="00CF30B3">
        <w:trPr>
          <w:trHeight w:val="215"/>
          <w:tblHeader/>
          <w:jc w:val="center"/>
        </w:trPr>
        <w:tc>
          <w:tcPr>
            <w:tcW w:w="1587" w:type="dxa"/>
            <w:vMerge/>
            <w:tcBorders>
              <w:left w:val="single" w:sz="12" w:space="0" w:color="000000"/>
              <w:bottom w:val="single" w:sz="12" w:space="0" w:color="000000"/>
              <w:right w:val="single" w:sz="12" w:space="0" w:color="000000"/>
            </w:tcBorders>
            <w:vAlign w:val="center"/>
          </w:tcPr>
          <w:p w:rsidR="008622CA" w:rsidRPr="00CF30B3" w:rsidRDefault="008622CA" w:rsidP="00FD145E">
            <w:pPr>
              <w:jc w:val="center"/>
              <w:rPr>
                <w:rFonts w:ascii="Times New Roman" w:eastAsia="Times New Roman" w:hAnsi="Times New Roman" w:cs="Times New Roman"/>
                <w:color w:val="000000"/>
                <w:sz w:val="20"/>
                <w:szCs w:val="20"/>
                <w:lang w:val="en-US"/>
              </w:rPr>
            </w:pPr>
          </w:p>
        </w:tc>
        <w:tc>
          <w:tcPr>
            <w:tcW w:w="2574" w:type="dxa"/>
            <w:vMerge/>
            <w:tcBorders>
              <w:top w:val="single" w:sz="12" w:space="0" w:color="000000"/>
              <w:left w:val="single" w:sz="12" w:space="0" w:color="000000"/>
              <w:bottom w:val="single" w:sz="12" w:space="0" w:color="000000"/>
              <w:right w:val="single" w:sz="12" w:space="0" w:color="000000"/>
            </w:tcBorders>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p>
        </w:tc>
        <w:tc>
          <w:tcPr>
            <w:tcW w:w="618" w:type="dxa"/>
            <w:tcBorders>
              <w:top w:val="nil"/>
              <w:left w:val="nil"/>
              <w:bottom w:val="single" w:sz="12" w:space="0" w:color="000000"/>
              <w:right w:val="single" w:sz="4" w:space="0" w:color="000000"/>
            </w:tcBorders>
            <w:shd w:val="clear" w:color="auto" w:fill="auto"/>
            <w:noWrap/>
            <w:vAlign w:val="center"/>
            <w:hideMark/>
          </w:tcPr>
          <w:p w:rsidR="008622CA" w:rsidRPr="00CF30B3" w:rsidRDefault="008622CA" w:rsidP="00FD145E">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1</w:t>
            </w:r>
          </w:p>
        </w:tc>
        <w:tc>
          <w:tcPr>
            <w:tcW w:w="712" w:type="dxa"/>
            <w:tcBorders>
              <w:top w:val="nil"/>
              <w:left w:val="nil"/>
              <w:bottom w:val="single" w:sz="12" w:space="0" w:color="000000"/>
              <w:right w:val="single" w:sz="4" w:space="0" w:color="000000"/>
            </w:tcBorders>
            <w:shd w:val="clear" w:color="auto" w:fill="auto"/>
            <w:noWrap/>
            <w:vAlign w:val="center"/>
            <w:hideMark/>
          </w:tcPr>
          <w:p w:rsidR="008622CA" w:rsidRPr="00CF30B3" w:rsidRDefault="008622CA" w:rsidP="00FD145E">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2</w:t>
            </w:r>
          </w:p>
        </w:tc>
        <w:tc>
          <w:tcPr>
            <w:tcW w:w="630" w:type="dxa"/>
            <w:tcBorders>
              <w:top w:val="nil"/>
              <w:left w:val="nil"/>
              <w:bottom w:val="single" w:sz="12" w:space="0" w:color="000000"/>
              <w:right w:val="single" w:sz="4" w:space="0" w:color="000000"/>
            </w:tcBorders>
            <w:shd w:val="clear" w:color="auto" w:fill="auto"/>
            <w:noWrap/>
            <w:vAlign w:val="center"/>
            <w:hideMark/>
          </w:tcPr>
          <w:p w:rsidR="008622CA" w:rsidRPr="00CF30B3" w:rsidRDefault="008622CA" w:rsidP="00FD145E">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3</w:t>
            </w:r>
          </w:p>
        </w:tc>
        <w:tc>
          <w:tcPr>
            <w:tcW w:w="617" w:type="dxa"/>
            <w:tcBorders>
              <w:top w:val="nil"/>
              <w:left w:val="nil"/>
              <w:bottom w:val="single" w:sz="12" w:space="0" w:color="000000"/>
              <w:right w:val="single" w:sz="4" w:space="0" w:color="000000"/>
            </w:tcBorders>
            <w:shd w:val="clear" w:color="auto" w:fill="auto"/>
            <w:noWrap/>
            <w:vAlign w:val="center"/>
            <w:hideMark/>
          </w:tcPr>
          <w:p w:rsidR="008622CA" w:rsidRPr="00CF30B3" w:rsidRDefault="008622CA" w:rsidP="00FD145E">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4</w:t>
            </w:r>
          </w:p>
        </w:tc>
        <w:tc>
          <w:tcPr>
            <w:tcW w:w="616" w:type="dxa"/>
            <w:tcBorders>
              <w:top w:val="nil"/>
              <w:left w:val="nil"/>
              <w:bottom w:val="single" w:sz="12" w:space="0" w:color="000000"/>
              <w:right w:val="single" w:sz="4" w:space="0" w:color="000000"/>
            </w:tcBorders>
            <w:shd w:val="clear" w:color="auto" w:fill="auto"/>
            <w:noWrap/>
            <w:vAlign w:val="center"/>
            <w:hideMark/>
          </w:tcPr>
          <w:p w:rsidR="008622CA" w:rsidRPr="00CF30B3" w:rsidRDefault="008622CA" w:rsidP="00FD145E">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5</w:t>
            </w:r>
          </w:p>
        </w:tc>
        <w:tc>
          <w:tcPr>
            <w:tcW w:w="649" w:type="dxa"/>
            <w:tcBorders>
              <w:top w:val="nil"/>
              <w:left w:val="nil"/>
              <w:bottom w:val="single" w:sz="12" w:space="0" w:color="000000"/>
              <w:right w:val="single" w:sz="12" w:space="0" w:color="000000"/>
            </w:tcBorders>
            <w:shd w:val="clear" w:color="auto" w:fill="auto"/>
            <w:noWrap/>
            <w:vAlign w:val="center"/>
            <w:hideMark/>
          </w:tcPr>
          <w:p w:rsidR="008622CA" w:rsidRPr="00CF30B3" w:rsidRDefault="008622CA" w:rsidP="00FD145E">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6</w:t>
            </w:r>
          </w:p>
        </w:tc>
      </w:tr>
      <w:tr w:rsidR="008622CA" w:rsidRPr="00CF30B3" w:rsidTr="00CF30B3">
        <w:trPr>
          <w:trHeight w:val="227"/>
          <w:jc w:val="center"/>
        </w:trPr>
        <w:tc>
          <w:tcPr>
            <w:tcW w:w="1587" w:type="dxa"/>
            <w:vMerge w:val="restart"/>
            <w:tcBorders>
              <w:top w:val="nil"/>
              <w:left w:val="single" w:sz="12" w:space="0" w:color="000000"/>
              <w:right w:val="single" w:sz="12" w:space="0" w:color="000000"/>
            </w:tcBorders>
            <w:shd w:val="clear" w:color="000000" w:fill="D7E4BC"/>
            <w:vAlign w:val="center"/>
          </w:tcPr>
          <w:p w:rsidR="008622CA" w:rsidRPr="00CF30B3" w:rsidRDefault="00FD145E" w:rsidP="00CF30B3">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Customer-Supplier relationship</w:t>
            </w:r>
          </w:p>
        </w:tc>
        <w:tc>
          <w:tcPr>
            <w:tcW w:w="2574" w:type="dxa"/>
            <w:tcBorders>
              <w:top w:val="nil"/>
              <w:left w:val="single" w:sz="12" w:space="0" w:color="000000"/>
              <w:bottom w:val="nil"/>
              <w:right w:val="single" w:sz="12" w:space="0" w:color="000000"/>
            </w:tcBorders>
            <w:shd w:val="clear" w:color="000000" w:fill="D7E4BC"/>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Customer_complaint_rate</w:t>
            </w:r>
          </w:p>
        </w:tc>
        <w:tc>
          <w:tcPr>
            <w:tcW w:w="618"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.745</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74"/>
          <w:jc w:val="center"/>
        </w:trPr>
        <w:tc>
          <w:tcPr>
            <w:tcW w:w="1587" w:type="dxa"/>
            <w:vMerge/>
            <w:tcBorders>
              <w:left w:val="single" w:sz="12" w:space="0" w:color="000000"/>
              <w:right w:val="single" w:sz="12" w:space="0" w:color="000000"/>
            </w:tcBorders>
            <w:shd w:val="clear" w:color="000000" w:fill="D7E4BC"/>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D7E4BC"/>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Products</w:t>
            </w:r>
          </w:p>
        </w:tc>
        <w:tc>
          <w:tcPr>
            <w:tcW w:w="618"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.737</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39"/>
          <w:jc w:val="center"/>
        </w:trPr>
        <w:tc>
          <w:tcPr>
            <w:tcW w:w="1587" w:type="dxa"/>
            <w:vMerge/>
            <w:tcBorders>
              <w:left w:val="single" w:sz="12" w:space="0" w:color="000000"/>
              <w:right w:val="single" w:sz="12" w:space="0" w:color="000000"/>
            </w:tcBorders>
            <w:shd w:val="clear" w:color="000000" w:fill="D7E4BC"/>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D7E4BC"/>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Raw_materials</w:t>
            </w:r>
          </w:p>
        </w:tc>
        <w:tc>
          <w:tcPr>
            <w:tcW w:w="618"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.735</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000000" w:fill="D7E4BC"/>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D7E4BC"/>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Supplier_relationship</w:t>
            </w:r>
          </w:p>
        </w:tc>
        <w:tc>
          <w:tcPr>
            <w:tcW w:w="618"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.720</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000000" w:fill="D7E4BC"/>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D7E4BC"/>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Customer_comm</w:t>
            </w:r>
          </w:p>
        </w:tc>
        <w:tc>
          <w:tcPr>
            <w:tcW w:w="618"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.657</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000000" w:fill="D7E4BC"/>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D7E4BC"/>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Purchasing_management</w:t>
            </w:r>
          </w:p>
        </w:tc>
        <w:tc>
          <w:tcPr>
            <w:tcW w:w="618"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.594</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bottom w:val="single" w:sz="4" w:space="0" w:color="auto"/>
              <w:right w:val="single" w:sz="12" w:space="0" w:color="000000"/>
            </w:tcBorders>
            <w:shd w:val="clear" w:color="000000" w:fill="D7E4BC"/>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single" w:sz="4" w:space="0" w:color="auto"/>
              <w:right w:val="single" w:sz="12" w:space="0" w:color="000000"/>
            </w:tcBorders>
            <w:shd w:val="clear" w:color="000000" w:fill="D7E4BC"/>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Supplier_turnover</w:t>
            </w:r>
          </w:p>
        </w:tc>
        <w:tc>
          <w:tcPr>
            <w:tcW w:w="618" w:type="dxa"/>
            <w:tcBorders>
              <w:top w:val="nil"/>
              <w:left w:val="nil"/>
              <w:bottom w:val="single" w:sz="4" w:space="0" w:color="auto"/>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.565</w:t>
            </w:r>
          </w:p>
        </w:tc>
        <w:tc>
          <w:tcPr>
            <w:tcW w:w="712"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single" w:sz="4" w:space="0" w:color="auto"/>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70"/>
          <w:jc w:val="center"/>
        </w:trPr>
        <w:tc>
          <w:tcPr>
            <w:tcW w:w="1587" w:type="dxa"/>
            <w:vMerge w:val="restart"/>
            <w:tcBorders>
              <w:top w:val="single" w:sz="4" w:space="0" w:color="auto"/>
              <w:left w:val="single" w:sz="12" w:space="0" w:color="000000"/>
              <w:right w:val="single" w:sz="12" w:space="0" w:color="000000"/>
            </w:tcBorders>
            <w:shd w:val="clear" w:color="auto" w:fill="FBD4B4" w:themeFill="accent6" w:themeFillTint="66"/>
            <w:vAlign w:val="center"/>
          </w:tcPr>
          <w:p w:rsidR="008622CA" w:rsidRPr="00CF30B3" w:rsidRDefault="00FD145E" w:rsidP="00CF30B3">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Employees</w:t>
            </w:r>
          </w:p>
        </w:tc>
        <w:tc>
          <w:tcPr>
            <w:tcW w:w="2574" w:type="dxa"/>
            <w:tcBorders>
              <w:top w:val="single" w:sz="4" w:space="0" w:color="auto"/>
              <w:left w:val="single" w:sz="12" w:space="0" w:color="000000"/>
              <w:bottom w:val="nil"/>
              <w:right w:val="single" w:sz="12" w:space="0" w:color="000000"/>
            </w:tcBorders>
            <w:shd w:val="clear" w:color="auto" w:fill="FBD4B4" w:themeFill="accent6" w:themeFillTint="66"/>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Absenteism</w:t>
            </w:r>
          </w:p>
        </w:tc>
        <w:tc>
          <w:tcPr>
            <w:tcW w:w="618"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single" w:sz="4" w:space="0" w:color="auto"/>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.840</w:t>
            </w:r>
          </w:p>
        </w:tc>
        <w:tc>
          <w:tcPr>
            <w:tcW w:w="630"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single" w:sz="4" w:space="0" w:color="auto"/>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80"/>
          <w:jc w:val="center"/>
        </w:trPr>
        <w:tc>
          <w:tcPr>
            <w:tcW w:w="1587" w:type="dxa"/>
            <w:vMerge/>
            <w:tcBorders>
              <w:left w:val="single" w:sz="12" w:space="0" w:color="000000"/>
              <w:right w:val="single" w:sz="12" w:space="0" w:color="000000"/>
            </w:tcBorders>
            <w:shd w:val="clear" w:color="auto" w:fill="FBD4B4" w:themeFill="accent6" w:themeFillTint="66"/>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auto" w:fill="FBD4B4" w:themeFill="accent6" w:themeFillTint="66"/>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Employee_turnover</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.812</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auto" w:fill="FBD4B4" w:themeFill="accent6" w:themeFillTint="66"/>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auto" w:fill="FBD4B4" w:themeFill="accent6" w:themeFillTint="66"/>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Employee_engagement</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.651</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auto" w:fill="FBD4B4" w:themeFill="accent6" w:themeFillTint="66"/>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auto" w:fill="FBD4B4" w:themeFill="accent6" w:themeFillTint="66"/>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Employee_initiative</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.642</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bottom w:val="single" w:sz="4" w:space="0" w:color="auto"/>
              <w:right w:val="single" w:sz="12" w:space="0" w:color="000000"/>
            </w:tcBorders>
            <w:shd w:val="clear" w:color="auto" w:fill="FBD4B4" w:themeFill="accent6" w:themeFillTint="66"/>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single" w:sz="4" w:space="0" w:color="auto"/>
              <w:right w:val="single" w:sz="12" w:space="0" w:color="000000"/>
            </w:tcBorders>
            <w:shd w:val="clear" w:color="auto" w:fill="FBD4B4" w:themeFill="accent6" w:themeFillTint="66"/>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Employee_decision_making</w:t>
            </w:r>
          </w:p>
        </w:tc>
        <w:tc>
          <w:tcPr>
            <w:tcW w:w="618"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single" w:sz="4" w:space="0" w:color="auto"/>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.640</w:t>
            </w:r>
          </w:p>
        </w:tc>
        <w:tc>
          <w:tcPr>
            <w:tcW w:w="630"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single" w:sz="4" w:space="0" w:color="auto"/>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val="restart"/>
            <w:tcBorders>
              <w:top w:val="single" w:sz="4" w:space="0" w:color="auto"/>
              <w:left w:val="single" w:sz="12" w:space="0" w:color="000000"/>
              <w:right w:val="single" w:sz="12" w:space="0" w:color="000000"/>
            </w:tcBorders>
            <w:shd w:val="clear" w:color="000000" w:fill="CCC0DA"/>
            <w:vAlign w:val="center"/>
          </w:tcPr>
          <w:p w:rsidR="008622CA" w:rsidRPr="00CF30B3" w:rsidRDefault="00FD145E" w:rsidP="00CF30B3">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Environment</w:t>
            </w:r>
          </w:p>
        </w:tc>
        <w:tc>
          <w:tcPr>
            <w:tcW w:w="2574" w:type="dxa"/>
            <w:tcBorders>
              <w:top w:val="single" w:sz="4" w:space="0" w:color="auto"/>
              <w:left w:val="single" w:sz="12" w:space="0" w:color="000000"/>
              <w:bottom w:val="nil"/>
              <w:right w:val="single" w:sz="12" w:space="0" w:color="000000"/>
            </w:tcBorders>
            <w:shd w:val="clear" w:color="000000" w:fill="CCC0DA"/>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Renewables</w:t>
            </w:r>
          </w:p>
        </w:tc>
        <w:tc>
          <w:tcPr>
            <w:tcW w:w="618"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single" w:sz="4" w:space="0" w:color="auto"/>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.757</w:t>
            </w:r>
          </w:p>
        </w:tc>
        <w:tc>
          <w:tcPr>
            <w:tcW w:w="617"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single" w:sz="4" w:space="0" w:color="auto"/>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000000" w:fill="CCC0DA"/>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CCC0DA"/>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Water</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.739</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000000" w:fill="CCC0DA"/>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CCC0DA"/>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Env_impacts</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.682</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000000" w:fill="CCC0DA"/>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CCC0DA"/>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Energy</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.643</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000000" w:fill="CCC0DA"/>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CCC0DA"/>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Recycling</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.567</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tcBorders>
              <w:left w:val="single" w:sz="12" w:space="0" w:color="000000"/>
              <w:bottom w:val="single" w:sz="4" w:space="0" w:color="auto"/>
              <w:right w:val="single" w:sz="12" w:space="0" w:color="000000"/>
            </w:tcBorders>
            <w:shd w:val="clear" w:color="000000" w:fill="CCC0DA"/>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single" w:sz="4" w:space="0" w:color="auto"/>
              <w:right w:val="single" w:sz="12" w:space="0" w:color="000000"/>
            </w:tcBorders>
            <w:shd w:val="clear" w:color="000000" w:fill="CCC0DA"/>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Env_authorities</w:t>
            </w:r>
          </w:p>
        </w:tc>
        <w:tc>
          <w:tcPr>
            <w:tcW w:w="618"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single" w:sz="4" w:space="0" w:color="auto"/>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.503</w:t>
            </w:r>
          </w:p>
        </w:tc>
        <w:tc>
          <w:tcPr>
            <w:tcW w:w="617"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single" w:sz="4" w:space="0" w:color="auto"/>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317"/>
          <w:jc w:val="center"/>
        </w:trPr>
        <w:tc>
          <w:tcPr>
            <w:tcW w:w="1587" w:type="dxa"/>
            <w:vMerge w:val="restart"/>
            <w:tcBorders>
              <w:top w:val="single" w:sz="4" w:space="0" w:color="auto"/>
              <w:left w:val="single" w:sz="12" w:space="0" w:color="000000"/>
              <w:right w:val="single" w:sz="12" w:space="0" w:color="000000"/>
            </w:tcBorders>
            <w:shd w:val="clear" w:color="000000" w:fill="E6B9B8"/>
            <w:vAlign w:val="center"/>
          </w:tcPr>
          <w:p w:rsidR="008622CA" w:rsidRPr="00CF30B3" w:rsidRDefault="00FD145E" w:rsidP="00CF30B3">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Financial institutions</w:t>
            </w:r>
          </w:p>
        </w:tc>
        <w:tc>
          <w:tcPr>
            <w:tcW w:w="2574" w:type="dxa"/>
            <w:tcBorders>
              <w:top w:val="single" w:sz="4" w:space="0" w:color="auto"/>
              <w:left w:val="single" w:sz="12" w:space="0" w:color="000000"/>
              <w:bottom w:val="nil"/>
              <w:right w:val="single" w:sz="12" w:space="0" w:color="000000"/>
            </w:tcBorders>
            <w:shd w:val="clear" w:color="000000" w:fill="E6B9B8"/>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Loans</w:t>
            </w:r>
          </w:p>
        </w:tc>
        <w:tc>
          <w:tcPr>
            <w:tcW w:w="618"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single" w:sz="4" w:space="0" w:color="auto"/>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.899</w:t>
            </w:r>
          </w:p>
        </w:tc>
        <w:tc>
          <w:tcPr>
            <w:tcW w:w="616"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single" w:sz="4" w:space="0" w:color="auto"/>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362"/>
          <w:jc w:val="center"/>
        </w:trPr>
        <w:tc>
          <w:tcPr>
            <w:tcW w:w="1587" w:type="dxa"/>
            <w:vMerge/>
            <w:tcBorders>
              <w:left w:val="single" w:sz="12" w:space="0" w:color="000000"/>
              <w:right w:val="single" w:sz="12" w:space="0" w:color="000000"/>
            </w:tcBorders>
            <w:shd w:val="clear" w:color="000000" w:fill="E6B9B8"/>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E6B9B8"/>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Interest_rate</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.829</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416"/>
          <w:jc w:val="center"/>
        </w:trPr>
        <w:tc>
          <w:tcPr>
            <w:tcW w:w="1587" w:type="dxa"/>
            <w:vMerge/>
            <w:tcBorders>
              <w:left w:val="single" w:sz="12" w:space="0" w:color="000000"/>
              <w:bottom w:val="single" w:sz="4" w:space="0" w:color="auto"/>
              <w:right w:val="single" w:sz="12" w:space="0" w:color="000000"/>
            </w:tcBorders>
            <w:shd w:val="clear" w:color="000000" w:fill="E6B9B8"/>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single" w:sz="4" w:space="0" w:color="auto"/>
              <w:right w:val="single" w:sz="12" w:space="0" w:color="000000"/>
            </w:tcBorders>
            <w:shd w:val="clear" w:color="000000" w:fill="E6B9B8"/>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Insurance</w:t>
            </w:r>
          </w:p>
        </w:tc>
        <w:tc>
          <w:tcPr>
            <w:tcW w:w="618"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single" w:sz="4" w:space="0" w:color="auto"/>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.799</w:t>
            </w:r>
          </w:p>
        </w:tc>
        <w:tc>
          <w:tcPr>
            <w:tcW w:w="616"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single" w:sz="4" w:space="0" w:color="auto"/>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81"/>
          <w:jc w:val="center"/>
        </w:trPr>
        <w:tc>
          <w:tcPr>
            <w:tcW w:w="1587" w:type="dxa"/>
            <w:vMerge w:val="restart"/>
            <w:tcBorders>
              <w:top w:val="single" w:sz="4" w:space="0" w:color="auto"/>
              <w:left w:val="single" w:sz="12" w:space="0" w:color="000000"/>
              <w:right w:val="single" w:sz="12" w:space="0" w:color="000000"/>
            </w:tcBorders>
            <w:shd w:val="clear" w:color="000000" w:fill="B2A1C7"/>
            <w:vAlign w:val="center"/>
          </w:tcPr>
          <w:p w:rsidR="008622CA" w:rsidRPr="00CF30B3" w:rsidRDefault="00FD145E" w:rsidP="00CF30B3">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Society</w:t>
            </w:r>
          </w:p>
        </w:tc>
        <w:tc>
          <w:tcPr>
            <w:tcW w:w="2574" w:type="dxa"/>
            <w:tcBorders>
              <w:top w:val="single" w:sz="4" w:space="0" w:color="auto"/>
              <w:left w:val="single" w:sz="12" w:space="0" w:color="000000"/>
              <w:bottom w:val="nil"/>
              <w:right w:val="single" w:sz="12" w:space="0" w:color="000000"/>
            </w:tcBorders>
            <w:shd w:val="clear" w:color="000000" w:fill="B2A1C7"/>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Sponsoring</w:t>
            </w:r>
          </w:p>
        </w:tc>
        <w:tc>
          <w:tcPr>
            <w:tcW w:w="618"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single" w:sz="4" w:space="0" w:color="auto"/>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.709</w:t>
            </w:r>
          </w:p>
        </w:tc>
        <w:tc>
          <w:tcPr>
            <w:tcW w:w="649" w:type="dxa"/>
            <w:tcBorders>
              <w:top w:val="single" w:sz="4" w:space="0" w:color="auto"/>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63"/>
          <w:jc w:val="center"/>
        </w:trPr>
        <w:tc>
          <w:tcPr>
            <w:tcW w:w="1587" w:type="dxa"/>
            <w:vMerge/>
            <w:tcBorders>
              <w:left w:val="single" w:sz="12" w:space="0" w:color="000000"/>
              <w:right w:val="single" w:sz="12" w:space="0" w:color="000000"/>
            </w:tcBorders>
            <w:shd w:val="clear" w:color="000000" w:fill="B2A1C7"/>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nil"/>
              <w:right w:val="single" w:sz="12" w:space="0" w:color="000000"/>
            </w:tcBorders>
            <w:shd w:val="clear" w:color="000000" w:fill="B2A1C7"/>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Community</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.679</w:t>
            </w:r>
          </w:p>
        </w:tc>
        <w:tc>
          <w:tcPr>
            <w:tcW w:w="649" w:type="dxa"/>
            <w:tcBorders>
              <w:top w:val="nil"/>
              <w:left w:val="nil"/>
              <w:bottom w:val="nil"/>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72"/>
          <w:jc w:val="center"/>
        </w:trPr>
        <w:tc>
          <w:tcPr>
            <w:tcW w:w="1587" w:type="dxa"/>
            <w:vMerge/>
            <w:tcBorders>
              <w:left w:val="single" w:sz="12" w:space="0" w:color="000000"/>
              <w:bottom w:val="single" w:sz="4" w:space="0" w:color="auto"/>
              <w:right w:val="single" w:sz="12" w:space="0" w:color="000000"/>
            </w:tcBorders>
            <w:shd w:val="clear" w:color="000000" w:fill="B2A1C7"/>
            <w:vAlign w:val="center"/>
          </w:tcPr>
          <w:p w:rsidR="008622CA" w:rsidRPr="00CF30B3" w:rsidRDefault="008622CA" w:rsidP="00CF30B3">
            <w:pPr>
              <w:jc w:val="center"/>
              <w:rPr>
                <w:rFonts w:ascii="Times New Roman" w:eastAsia="Times New Roman" w:hAnsi="Times New Roman" w:cs="Times New Roman"/>
                <w:b/>
                <w:color w:val="000000"/>
                <w:sz w:val="20"/>
                <w:szCs w:val="20"/>
                <w:lang w:val="en-US"/>
              </w:rPr>
            </w:pPr>
          </w:p>
        </w:tc>
        <w:tc>
          <w:tcPr>
            <w:tcW w:w="2574" w:type="dxa"/>
            <w:tcBorders>
              <w:top w:val="nil"/>
              <w:left w:val="single" w:sz="12" w:space="0" w:color="000000"/>
              <w:bottom w:val="single" w:sz="4" w:space="0" w:color="auto"/>
              <w:right w:val="single" w:sz="12" w:space="0" w:color="000000"/>
            </w:tcBorders>
            <w:shd w:val="clear" w:color="000000" w:fill="B2A1C7"/>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Image</w:t>
            </w:r>
          </w:p>
        </w:tc>
        <w:tc>
          <w:tcPr>
            <w:tcW w:w="618"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single" w:sz="4" w:space="0" w:color="auto"/>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single" w:sz="4" w:space="0" w:color="auto"/>
              <w:right w:val="single" w:sz="4"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.543</w:t>
            </w:r>
          </w:p>
        </w:tc>
        <w:tc>
          <w:tcPr>
            <w:tcW w:w="649" w:type="dxa"/>
            <w:tcBorders>
              <w:top w:val="nil"/>
              <w:left w:val="nil"/>
              <w:bottom w:val="single" w:sz="4" w:space="0" w:color="auto"/>
              <w:right w:val="single" w:sz="12"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r>
      <w:tr w:rsidR="008622CA" w:rsidRPr="00CF30B3" w:rsidTr="00CF30B3">
        <w:trPr>
          <w:trHeight w:val="255"/>
          <w:jc w:val="center"/>
        </w:trPr>
        <w:tc>
          <w:tcPr>
            <w:tcW w:w="1587" w:type="dxa"/>
            <w:vMerge w:val="restart"/>
            <w:tcBorders>
              <w:top w:val="single" w:sz="4" w:space="0" w:color="auto"/>
              <w:left w:val="single" w:sz="12" w:space="0" w:color="000000"/>
              <w:right w:val="single" w:sz="12" w:space="0" w:color="000000"/>
            </w:tcBorders>
            <w:shd w:val="clear" w:color="000000" w:fill="B6DDE8"/>
            <w:vAlign w:val="center"/>
          </w:tcPr>
          <w:p w:rsidR="008622CA" w:rsidRPr="00CF30B3" w:rsidRDefault="00FD145E" w:rsidP="00CF30B3">
            <w:pPr>
              <w:jc w:val="center"/>
              <w:rPr>
                <w:rFonts w:ascii="Times New Roman" w:eastAsia="Times New Roman" w:hAnsi="Times New Roman" w:cs="Times New Roman"/>
                <w:b/>
                <w:color w:val="000000"/>
                <w:sz w:val="20"/>
                <w:szCs w:val="20"/>
                <w:lang w:val="en-US"/>
              </w:rPr>
            </w:pPr>
            <w:r w:rsidRPr="00CF30B3">
              <w:rPr>
                <w:rFonts w:ascii="Times New Roman" w:eastAsia="Times New Roman" w:hAnsi="Times New Roman" w:cs="Times New Roman"/>
                <w:b/>
                <w:color w:val="000000"/>
                <w:sz w:val="20"/>
                <w:szCs w:val="20"/>
                <w:lang w:val="en-US"/>
              </w:rPr>
              <w:t>State</w:t>
            </w:r>
          </w:p>
        </w:tc>
        <w:tc>
          <w:tcPr>
            <w:tcW w:w="2574" w:type="dxa"/>
            <w:tcBorders>
              <w:top w:val="single" w:sz="4" w:space="0" w:color="auto"/>
              <w:left w:val="single" w:sz="12" w:space="0" w:color="000000"/>
              <w:bottom w:val="nil"/>
              <w:right w:val="single" w:sz="12" w:space="0" w:color="000000"/>
            </w:tcBorders>
            <w:shd w:val="clear" w:color="000000" w:fill="B6DDE8"/>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State_collaboration</w:t>
            </w:r>
          </w:p>
        </w:tc>
        <w:tc>
          <w:tcPr>
            <w:tcW w:w="618"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single" w:sz="4" w:space="0" w:color="auto"/>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single" w:sz="4" w:space="0" w:color="auto"/>
              <w:left w:val="nil"/>
              <w:bottom w:val="nil"/>
              <w:right w:val="single" w:sz="12"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.866</w:t>
            </w:r>
          </w:p>
        </w:tc>
      </w:tr>
      <w:tr w:rsidR="008622CA" w:rsidRPr="00CF30B3" w:rsidTr="00CF30B3">
        <w:trPr>
          <w:trHeight w:val="255"/>
          <w:jc w:val="center"/>
        </w:trPr>
        <w:tc>
          <w:tcPr>
            <w:tcW w:w="1587" w:type="dxa"/>
            <w:vMerge/>
            <w:tcBorders>
              <w:left w:val="single" w:sz="12" w:space="0" w:color="000000"/>
              <w:right w:val="single" w:sz="12" w:space="0" w:color="000000"/>
            </w:tcBorders>
            <w:shd w:val="clear" w:color="000000" w:fill="B6DDE8"/>
          </w:tcPr>
          <w:p w:rsidR="008622CA" w:rsidRPr="00CF30B3" w:rsidRDefault="008622CA" w:rsidP="00F64F63">
            <w:pPr>
              <w:rPr>
                <w:rFonts w:ascii="Times New Roman" w:eastAsia="Times New Roman" w:hAnsi="Times New Roman" w:cs="Times New Roman"/>
                <w:color w:val="000000"/>
                <w:sz w:val="20"/>
                <w:szCs w:val="20"/>
                <w:lang w:val="en-US"/>
              </w:rPr>
            </w:pPr>
          </w:p>
        </w:tc>
        <w:tc>
          <w:tcPr>
            <w:tcW w:w="2574" w:type="dxa"/>
            <w:tcBorders>
              <w:top w:val="nil"/>
              <w:left w:val="single" w:sz="12" w:space="0" w:color="000000"/>
              <w:bottom w:val="nil"/>
              <w:right w:val="single" w:sz="12" w:space="0" w:color="000000"/>
            </w:tcBorders>
            <w:shd w:val="clear" w:color="000000" w:fill="B6DDE8"/>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State_control</w:t>
            </w:r>
          </w:p>
        </w:tc>
        <w:tc>
          <w:tcPr>
            <w:tcW w:w="618"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nil"/>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nil"/>
              <w:right w:val="single" w:sz="12"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.798</w:t>
            </w:r>
          </w:p>
        </w:tc>
      </w:tr>
      <w:tr w:rsidR="008622CA" w:rsidRPr="00CF30B3" w:rsidTr="00CF30B3">
        <w:trPr>
          <w:trHeight w:val="270"/>
          <w:jc w:val="center"/>
        </w:trPr>
        <w:tc>
          <w:tcPr>
            <w:tcW w:w="1587" w:type="dxa"/>
            <w:vMerge/>
            <w:tcBorders>
              <w:left w:val="single" w:sz="12" w:space="0" w:color="000000"/>
              <w:bottom w:val="single" w:sz="12" w:space="0" w:color="000000"/>
              <w:right w:val="single" w:sz="12" w:space="0" w:color="000000"/>
            </w:tcBorders>
            <w:shd w:val="clear" w:color="000000" w:fill="B6DDE8"/>
          </w:tcPr>
          <w:p w:rsidR="008622CA" w:rsidRPr="00CF30B3" w:rsidRDefault="008622CA" w:rsidP="00F64F63">
            <w:pPr>
              <w:rPr>
                <w:rFonts w:ascii="Times New Roman" w:eastAsia="Times New Roman" w:hAnsi="Times New Roman" w:cs="Times New Roman"/>
                <w:color w:val="000000"/>
                <w:sz w:val="20"/>
                <w:szCs w:val="20"/>
                <w:lang w:val="en-US"/>
              </w:rPr>
            </w:pPr>
          </w:p>
        </w:tc>
        <w:tc>
          <w:tcPr>
            <w:tcW w:w="2574" w:type="dxa"/>
            <w:tcBorders>
              <w:top w:val="nil"/>
              <w:left w:val="single" w:sz="12" w:space="0" w:color="000000"/>
              <w:bottom w:val="single" w:sz="12" w:space="0" w:color="000000"/>
              <w:right w:val="single" w:sz="12" w:space="0" w:color="000000"/>
            </w:tcBorders>
            <w:shd w:val="clear" w:color="000000" w:fill="B6DDE8"/>
            <w:vAlign w:val="center"/>
            <w:hideMark/>
          </w:tcPr>
          <w:p w:rsidR="008622CA" w:rsidRPr="00CF30B3" w:rsidRDefault="008622CA" w:rsidP="00FD145E">
            <w:pPr>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Research</w:t>
            </w:r>
          </w:p>
        </w:tc>
        <w:tc>
          <w:tcPr>
            <w:tcW w:w="618" w:type="dxa"/>
            <w:tcBorders>
              <w:top w:val="nil"/>
              <w:left w:val="nil"/>
              <w:bottom w:val="single" w:sz="12" w:space="0" w:color="000000"/>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712" w:type="dxa"/>
            <w:tcBorders>
              <w:top w:val="nil"/>
              <w:left w:val="nil"/>
              <w:bottom w:val="single" w:sz="12" w:space="0" w:color="000000"/>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30" w:type="dxa"/>
            <w:tcBorders>
              <w:top w:val="nil"/>
              <w:left w:val="nil"/>
              <w:bottom w:val="single" w:sz="12" w:space="0" w:color="000000"/>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7" w:type="dxa"/>
            <w:tcBorders>
              <w:top w:val="nil"/>
              <w:left w:val="nil"/>
              <w:bottom w:val="single" w:sz="12" w:space="0" w:color="000000"/>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16" w:type="dxa"/>
            <w:tcBorders>
              <w:top w:val="nil"/>
              <w:left w:val="nil"/>
              <w:bottom w:val="single" w:sz="12" w:space="0" w:color="000000"/>
              <w:right w:val="single" w:sz="4" w:space="0" w:color="000000"/>
            </w:tcBorders>
            <w:shd w:val="clear" w:color="auto" w:fill="auto"/>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 </w:t>
            </w:r>
          </w:p>
        </w:tc>
        <w:tc>
          <w:tcPr>
            <w:tcW w:w="649" w:type="dxa"/>
            <w:tcBorders>
              <w:top w:val="nil"/>
              <w:left w:val="nil"/>
              <w:bottom w:val="single" w:sz="12" w:space="0" w:color="000000"/>
              <w:right w:val="single" w:sz="12" w:space="0" w:color="000000"/>
            </w:tcBorders>
            <w:shd w:val="clear" w:color="auto" w:fill="auto"/>
            <w:noWrap/>
            <w:vAlign w:val="center"/>
            <w:hideMark/>
          </w:tcPr>
          <w:p w:rsidR="008622CA" w:rsidRPr="00CF30B3" w:rsidRDefault="008622CA" w:rsidP="00FD145E">
            <w:pPr>
              <w:jc w:val="right"/>
              <w:rPr>
                <w:rFonts w:ascii="Times New Roman" w:eastAsia="Times New Roman" w:hAnsi="Times New Roman" w:cs="Times New Roman"/>
                <w:color w:val="000000"/>
                <w:sz w:val="20"/>
                <w:szCs w:val="20"/>
                <w:lang w:val="en-US"/>
              </w:rPr>
            </w:pPr>
            <w:r w:rsidRPr="00CF30B3">
              <w:rPr>
                <w:rFonts w:ascii="Times New Roman" w:eastAsia="Times New Roman" w:hAnsi="Times New Roman" w:cs="Times New Roman"/>
                <w:color w:val="000000"/>
                <w:sz w:val="20"/>
                <w:szCs w:val="20"/>
                <w:lang w:val="en-US"/>
              </w:rPr>
              <w:t>.569</w:t>
            </w:r>
          </w:p>
        </w:tc>
      </w:tr>
    </w:tbl>
    <w:p w:rsidR="00507D37" w:rsidRDefault="00507D37" w:rsidP="00C1414A">
      <w:pPr>
        <w:rPr>
          <w:rFonts w:ascii="Times New Roman" w:hAnsi="Times New Roman" w:cs="Times New Roman"/>
          <w:sz w:val="24"/>
          <w:szCs w:val="24"/>
          <w:lang w:val="en-US"/>
        </w:rPr>
      </w:pPr>
    </w:p>
    <w:p w:rsidR="00AF51C2" w:rsidRDefault="00570AF4" w:rsidP="00CF30B3">
      <w:pPr>
        <w:tabs>
          <w:tab w:val="left" w:pos="3150"/>
        </w:tabs>
        <w:autoSpaceDE w:val="0"/>
        <w:autoSpaceDN w:val="0"/>
        <w:adjustRightInd w:val="0"/>
        <w:spacing w:after="120"/>
        <w:jc w:val="center"/>
        <w:rPr>
          <w:rFonts w:ascii="Times New Roman" w:hAnsi="Times New Roman" w:cs="Times New Roman"/>
          <w:b/>
          <w:sz w:val="20"/>
          <w:szCs w:val="20"/>
          <w:lang w:val="en-US"/>
        </w:rPr>
      </w:pPr>
      <w:r>
        <w:rPr>
          <w:rFonts w:ascii="Times New Roman" w:hAnsi="Times New Roman" w:cs="Times New Roman"/>
          <w:noProof/>
          <w:sz w:val="24"/>
          <w:szCs w:val="24"/>
          <w:lang w:eastAsia="fr-FR"/>
        </w:rPr>
        <w:drawing>
          <wp:inline distT="0" distB="0" distL="0" distR="0">
            <wp:extent cx="4214191" cy="3160643"/>
            <wp:effectExtent l="19050" t="0" r="0" b="0"/>
            <wp:docPr id="8" name="7 - Εικόνα" descr="C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jpg"/>
                    <pic:cNvPicPr/>
                  </pic:nvPicPr>
                  <pic:blipFill>
                    <a:blip r:embed="rId9" cstate="print"/>
                    <a:stretch>
                      <a:fillRect/>
                    </a:stretch>
                  </pic:blipFill>
                  <pic:spPr>
                    <a:xfrm>
                      <a:off x="0" y="0"/>
                      <a:ext cx="4219818" cy="3164863"/>
                    </a:xfrm>
                    <a:prstGeom prst="rect">
                      <a:avLst/>
                    </a:prstGeom>
                  </pic:spPr>
                </pic:pic>
              </a:graphicData>
            </a:graphic>
          </wp:inline>
        </w:drawing>
      </w:r>
    </w:p>
    <w:p w:rsidR="00507D37" w:rsidRPr="00E94AA9" w:rsidRDefault="00507D37" w:rsidP="00E94AA9">
      <w:pPr>
        <w:autoSpaceDE w:val="0"/>
        <w:autoSpaceDN w:val="0"/>
        <w:adjustRightInd w:val="0"/>
        <w:spacing w:after="120"/>
        <w:jc w:val="both"/>
        <w:rPr>
          <w:rFonts w:ascii="Times New Roman" w:hAnsi="Times New Roman" w:cs="Times New Roman"/>
          <w:sz w:val="20"/>
          <w:szCs w:val="20"/>
          <w:lang w:val="en-US"/>
        </w:rPr>
      </w:pPr>
      <w:proofErr w:type="gramStart"/>
      <w:r w:rsidRPr="00E94AA9">
        <w:rPr>
          <w:rFonts w:ascii="Times New Roman" w:hAnsi="Times New Roman" w:cs="Times New Roman"/>
          <w:b/>
          <w:sz w:val="20"/>
          <w:szCs w:val="20"/>
          <w:lang w:val="en-US"/>
        </w:rPr>
        <w:t>Figure 2.</w:t>
      </w:r>
      <w:proofErr w:type="gramEnd"/>
      <w:r w:rsidRPr="00E94AA9">
        <w:rPr>
          <w:rFonts w:ascii="Times New Roman" w:hAnsi="Times New Roman" w:cs="Times New Roman"/>
          <w:b/>
          <w:sz w:val="20"/>
          <w:szCs w:val="20"/>
          <w:lang w:val="en-US"/>
        </w:rPr>
        <w:t xml:space="preserve"> </w:t>
      </w:r>
      <w:r w:rsidRPr="00E94AA9">
        <w:rPr>
          <w:rFonts w:ascii="Times New Roman" w:hAnsi="Times New Roman" w:cs="Times New Roman"/>
          <w:sz w:val="20"/>
          <w:szCs w:val="20"/>
          <w:lang w:val="en-US"/>
        </w:rPr>
        <w:t>CSP factors</w:t>
      </w:r>
    </w:p>
    <w:p w:rsidR="00507D37" w:rsidRPr="00507D37" w:rsidRDefault="00507D37" w:rsidP="00507D37">
      <w:pPr>
        <w:rPr>
          <w:lang w:val="en-US" w:eastAsia="el-GR"/>
        </w:rPr>
      </w:pPr>
    </w:p>
    <w:p w:rsidR="00105EEB" w:rsidRPr="008751F4" w:rsidRDefault="009E649A" w:rsidP="00CF30B3">
      <w:pPr>
        <w:pStyle w:val="Titre3"/>
        <w:spacing w:before="0" w:after="0"/>
        <w:rPr>
          <w:rFonts w:cs="Times New Roman"/>
          <w:b w:val="0"/>
          <w:lang w:val="en-US"/>
        </w:rPr>
      </w:pPr>
      <w:r w:rsidRPr="008751F4">
        <w:rPr>
          <w:rFonts w:cs="Times New Roman"/>
          <w:b w:val="0"/>
          <w:lang w:val="en-US"/>
        </w:rPr>
        <w:t>M</w:t>
      </w:r>
      <w:r w:rsidR="00105EEB" w:rsidRPr="008751F4">
        <w:rPr>
          <w:rFonts w:cs="Times New Roman"/>
          <w:b w:val="0"/>
          <w:lang w:val="en-US"/>
        </w:rPr>
        <w:t>odel Reliability and Validity</w:t>
      </w:r>
    </w:p>
    <w:p w:rsidR="00105EEB" w:rsidRPr="008751F4" w:rsidRDefault="00901832" w:rsidP="00CF30B3">
      <w:pPr>
        <w:shd w:val="clear" w:color="auto" w:fill="FFFFFF"/>
        <w:ind w:firstLine="288"/>
        <w:jc w:val="both"/>
        <w:rPr>
          <w:rFonts w:ascii="Times New Roman" w:hAnsi="Times New Roman" w:cs="Times New Roman"/>
          <w:sz w:val="24"/>
          <w:szCs w:val="24"/>
          <w:lang w:val="en-US"/>
        </w:rPr>
      </w:pPr>
      <w:r>
        <w:rPr>
          <w:rFonts w:ascii="Times New Roman" w:eastAsia="Times New Roman" w:hAnsi="Times New Roman" w:cs="Times New Roman"/>
          <w:color w:val="111111"/>
          <w:sz w:val="24"/>
          <w:szCs w:val="24"/>
          <w:lang w:val="en-US"/>
        </w:rPr>
        <w:t xml:space="preserve">A reliability analysis is performed to test the internal consistency of the constructs. </w:t>
      </w:r>
      <w:r w:rsidR="00313B02" w:rsidRPr="008751F4">
        <w:rPr>
          <w:rFonts w:ascii="Times New Roman" w:eastAsia="Times New Roman" w:hAnsi="Times New Roman" w:cs="Times New Roman"/>
          <w:color w:val="111111"/>
          <w:sz w:val="24"/>
          <w:szCs w:val="24"/>
          <w:lang w:val="en-US"/>
        </w:rPr>
        <w:t xml:space="preserve">Literature suggests 0.6 as the minimum </w:t>
      </w:r>
      <w:r w:rsidR="00313B02" w:rsidRPr="00B24442">
        <w:rPr>
          <w:rFonts w:ascii="Times New Roman" w:eastAsia="Times New Roman" w:hAnsi="Times New Roman" w:cs="Times New Roman"/>
          <w:color w:val="111111"/>
          <w:sz w:val="24"/>
          <w:szCs w:val="24"/>
          <w:lang w:val="en-US"/>
        </w:rPr>
        <w:t>a</w:t>
      </w:r>
      <w:r>
        <w:rPr>
          <w:rFonts w:ascii="Times New Roman" w:eastAsia="Times New Roman" w:hAnsi="Times New Roman" w:cs="Times New Roman"/>
          <w:color w:val="111111"/>
          <w:sz w:val="24"/>
          <w:szCs w:val="24"/>
          <w:lang w:val="en-US"/>
        </w:rPr>
        <w:t>cceptable value for Cronbach’s a</w:t>
      </w:r>
      <w:r w:rsidR="00313B02" w:rsidRPr="00B24442">
        <w:rPr>
          <w:rFonts w:ascii="Times New Roman" w:eastAsia="Times New Roman" w:hAnsi="Times New Roman" w:cs="Times New Roman"/>
          <w:color w:val="111111"/>
          <w:sz w:val="24"/>
          <w:szCs w:val="24"/>
          <w:lang w:val="en-US"/>
        </w:rPr>
        <w:t xml:space="preserve">lpha </w:t>
      </w:r>
      <w:r w:rsidR="001E7BAF">
        <w:rPr>
          <w:rFonts w:ascii="Times New Roman" w:eastAsia="Times New Roman" w:hAnsi="Times New Roman" w:cs="Times New Roman"/>
          <w:color w:val="111111"/>
          <w:sz w:val="24"/>
          <w:szCs w:val="24"/>
          <w:lang w:val="en-US"/>
        </w:rPr>
        <w:t xml:space="preserve">(Cronbach, 1951) </w:t>
      </w:r>
      <w:r w:rsidR="004E57D5" w:rsidRPr="00B24442">
        <w:rPr>
          <w:rFonts w:ascii="Times New Roman" w:eastAsia="Times New Roman" w:hAnsi="Times New Roman" w:cs="Times New Roman"/>
          <w:color w:val="111111"/>
          <w:sz w:val="24"/>
          <w:szCs w:val="24"/>
          <w:lang w:val="en-US"/>
        </w:rPr>
        <w:t xml:space="preserve">reliability coefficient </w:t>
      </w:r>
      <w:r w:rsidR="00313B02" w:rsidRPr="00B24442">
        <w:rPr>
          <w:rFonts w:ascii="Times New Roman" w:eastAsia="Times New Roman" w:hAnsi="Times New Roman" w:cs="Times New Roman"/>
          <w:color w:val="111111"/>
          <w:sz w:val="24"/>
          <w:szCs w:val="24"/>
          <w:lang w:val="en-US"/>
        </w:rPr>
        <w:t>(</w:t>
      </w:r>
      <w:r w:rsidR="00421EEC" w:rsidRPr="00496F78">
        <w:rPr>
          <w:rFonts w:ascii="Times New Roman" w:hAnsi="Times New Roman" w:cs="Times New Roman"/>
          <w:sz w:val="24"/>
          <w:szCs w:val="24"/>
          <w:lang w:val="en-US"/>
        </w:rPr>
        <w:t>Hair et al. 2014; Nunnally and</w:t>
      </w:r>
      <w:r w:rsidR="00B24442" w:rsidRPr="00496F78">
        <w:rPr>
          <w:rFonts w:ascii="Times New Roman" w:hAnsi="Times New Roman" w:cs="Times New Roman"/>
          <w:sz w:val="24"/>
          <w:szCs w:val="24"/>
          <w:lang w:val="en-US"/>
        </w:rPr>
        <w:t xml:space="preserve"> Bernstein, 1994</w:t>
      </w:r>
      <w:r w:rsidR="00313B02" w:rsidRPr="00B24442">
        <w:rPr>
          <w:rFonts w:ascii="Times New Roman" w:eastAsia="Times New Roman" w:hAnsi="Times New Roman" w:cs="Times New Roman"/>
          <w:color w:val="111111"/>
          <w:sz w:val="24"/>
          <w:szCs w:val="24"/>
          <w:lang w:val="en-US"/>
        </w:rPr>
        <w:t>).</w:t>
      </w:r>
      <w:r w:rsidR="00D36530" w:rsidRPr="00B24442">
        <w:rPr>
          <w:rFonts w:ascii="Times New Roman" w:eastAsia="Times New Roman" w:hAnsi="Times New Roman" w:cs="Times New Roman"/>
          <w:color w:val="111111"/>
          <w:sz w:val="24"/>
          <w:szCs w:val="24"/>
          <w:lang w:val="en-US"/>
        </w:rPr>
        <w:t xml:space="preserve"> </w:t>
      </w:r>
      <w:r>
        <w:rPr>
          <w:rFonts w:ascii="Times New Roman" w:eastAsia="Times New Roman" w:hAnsi="Times New Roman" w:cs="Times New Roman"/>
          <w:color w:val="111111"/>
          <w:sz w:val="24"/>
          <w:szCs w:val="24"/>
          <w:lang w:val="en-US"/>
        </w:rPr>
        <w:t>In this research,</w:t>
      </w:r>
      <w:r w:rsidR="00105EEB" w:rsidRPr="00B24442">
        <w:rPr>
          <w:rFonts w:ascii="Times New Roman" w:hAnsi="Times New Roman" w:cs="Times New Roman"/>
          <w:sz w:val="24"/>
          <w:szCs w:val="24"/>
          <w:lang w:val="en-US"/>
        </w:rPr>
        <w:t xml:space="preserve"> the inte</w:t>
      </w:r>
      <w:r w:rsidR="00E97822" w:rsidRPr="00B24442">
        <w:rPr>
          <w:rFonts w:ascii="Times New Roman" w:hAnsi="Times New Roman" w:cs="Times New Roman"/>
          <w:sz w:val="24"/>
          <w:szCs w:val="24"/>
          <w:lang w:val="en-US"/>
        </w:rPr>
        <w:t>rnalizat</w:t>
      </w:r>
      <w:r w:rsidR="00105EEB" w:rsidRPr="00B24442">
        <w:rPr>
          <w:rFonts w:ascii="Times New Roman" w:hAnsi="Times New Roman" w:cs="Times New Roman"/>
          <w:sz w:val="24"/>
          <w:szCs w:val="24"/>
          <w:lang w:val="en-US"/>
        </w:rPr>
        <w:t>ion and corporate sustainability performance Cronbach’s alpha coefficien</w:t>
      </w:r>
      <w:r w:rsidR="00345AC9" w:rsidRPr="00B24442">
        <w:rPr>
          <w:rFonts w:ascii="Times New Roman" w:hAnsi="Times New Roman" w:cs="Times New Roman"/>
          <w:sz w:val="24"/>
          <w:szCs w:val="24"/>
          <w:lang w:val="en-US"/>
        </w:rPr>
        <w:t>ts</w:t>
      </w:r>
      <w:r w:rsidR="00345AC9" w:rsidRPr="008751F4">
        <w:rPr>
          <w:rFonts w:ascii="Times New Roman" w:hAnsi="Times New Roman" w:cs="Times New Roman"/>
          <w:sz w:val="24"/>
          <w:szCs w:val="24"/>
          <w:lang w:val="en-US"/>
        </w:rPr>
        <w:t xml:space="preserve"> are</w:t>
      </w:r>
      <w:r w:rsidR="00D36530" w:rsidRPr="008751F4">
        <w:rPr>
          <w:rFonts w:ascii="Times New Roman" w:hAnsi="Times New Roman" w:cs="Times New Roman"/>
          <w:sz w:val="24"/>
          <w:szCs w:val="24"/>
          <w:lang w:val="en-US"/>
        </w:rPr>
        <w:t xml:space="preserve"> found</w:t>
      </w:r>
      <w:r w:rsidR="00345AC9" w:rsidRPr="008751F4">
        <w:rPr>
          <w:rFonts w:ascii="Times New Roman" w:hAnsi="Times New Roman" w:cs="Times New Roman"/>
          <w:sz w:val="24"/>
          <w:szCs w:val="24"/>
          <w:lang w:val="en-US"/>
        </w:rPr>
        <w:t xml:space="preserve"> significantly high</w:t>
      </w:r>
      <w:r w:rsidR="00025AEE">
        <w:rPr>
          <w:rFonts w:ascii="Times New Roman" w:hAnsi="Times New Roman" w:cs="Times New Roman"/>
          <w:sz w:val="24"/>
          <w:szCs w:val="24"/>
          <w:lang w:val="en-US"/>
        </w:rPr>
        <w:t xml:space="preserve"> (</w:t>
      </w:r>
      <w:r w:rsidR="00AF51C2">
        <w:rPr>
          <w:rFonts w:ascii="Times New Roman" w:hAnsi="Times New Roman" w:cs="Times New Roman"/>
          <w:sz w:val="24"/>
          <w:szCs w:val="24"/>
          <w:lang w:val="en-US"/>
        </w:rPr>
        <w:t>0.909 for internalization and 0.935 for CSP</w:t>
      </w:r>
      <w:r w:rsidR="00025AEE">
        <w:rPr>
          <w:rFonts w:ascii="Times New Roman" w:hAnsi="Times New Roman" w:cs="Times New Roman"/>
          <w:sz w:val="24"/>
          <w:szCs w:val="24"/>
          <w:lang w:val="en-US"/>
        </w:rPr>
        <w:t>)</w:t>
      </w:r>
      <w:r>
        <w:rPr>
          <w:rFonts w:ascii="Times New Roman" w:hAnsi="Times New Roman" w:cs="Times New Roman"/>
          <w:sz w:val="24"/>
          <w:szCs w:val="24"/>
          <w:lang w:val="en-US"/>
        </w:rPr>
        <w:t>.</w:t>
      </w:r>
    </w:p>
    <w:p w:rsidR="00105EEB" w:rsidRPr="008751F4" w:rsidRDefault="00105EEB" w:rsidP="00CF30B3">
      <w:pPr>
        <w:autoSpaceDE w:val="0"/>
        <w:autoSpaceDN w:val="0"/>
        <w:adjustRightInd w:val="0"/>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For the identified composite factor named “</w:t>
      </w:r>
      <w:r w:rsidR="00382A55" w:rsidRPr="008751F4">
        <w:rPr>
          <w:rFonts w:ascii="Times New Roman" w:hAnsi="Times New Roman" w:cs="Times New Roman"/>
          <w:sz w:val="24"/>
          <w:szCs w:val="24"/>
          <w:lang w:val="en-US"/>
        </w:rPr>
        <w:t>Customers-Suppliers relationship</w:t>
      </w:r>
      <w:r w:rsidRPr="008751F4">
        <w:rPr>
          <w:rFonts w:ascii="Times New Roman" w:hAnsi="Times New Roman" w:cs="Times New Roman"/>
          <w:sz w:val="24"/>
          <w:szCs w:val="24"/>
          <w:lang w:val="en-US"/>
        </w:rPr>
        <w:t>”, which includes items of both factors (suppliers and customers)</w:t>
      </w:r>
      <w:r w:rsidR="009920F4" w:rsidRPr="008751F4">
        <w:rPr>
          <w:rFonts w:ascii="Times New Roman" w:hAnsi="Times New Roman" w:cs="Times New Roman"/>
          <w:sz w:val="24"/>
          <w:szCs w:val="24"/>
          <w:lang w:val="en-US"/>
        </w:rPr>
        <w:t>,</w:t>
      </w:r>
      <w:r w:rsidRPr="008751F4">
        <w:rPr>
          <w:rFonts w:ascii="Times New Roman" w:hAnsi="Times New Roman" w:cs="Times New Roman"/>
          <w:sz w:val="24"/>
          <w:szCs w:val="24"/>
          <w:lang w:val="en-US"/>
        </w:rPr>
        <w:t xml:space="preserve"> a comparison of Cronbach’s Alpha coefficients is conducted (prior and po</w:t>
      </w:r>
      <w:r w:rsidR="00025AEE">
        <w:rPr>
          <w:rFonts w:ascii="Times New Roman" w:hAnsi="Times New Roman" w:cs="Times New Roman"/>
          <w:sz w:val="24"/>
          <w:szCs w:val="24"/>
          <w:lang w:val="en-US"/>
        </w:rPr>
        <w:t>st exploratory</w:t>
      </w:r>
      <w:r w:rsidR="00544B44">
        <w:rPr>
          <w:rFonts w:ascii="Times New Roman" w:hAnsi="Times New Roman" w:cs="Times New Roman"/>
          <w:sz w:val="24"/>
          <w:szCs w:val="24"/>
          <w:lang w:val="en-US"/>
        </w:rPr>
        <w:t xml:space="preserve"> factor analysis)</w:t>
      </w:r>
      <w:r w:rsidR="00025AEE">
        <w:rPr>
          <w:rFonts w:ascii="Times New Roman" w:hAnsi="Times New Roman" w:cs="Times New Roman"/>
          <w:sz w:val="24"/>
          <w:szCs w:val="24"/>
          <w:lang w:val="en-US"/>
        </w:rPr>
        <w:t>.</w:t>
      </w:r>
      <w:r w:rsidR="00544B44">
        <w:rPr>
          <w:rFonts w:ascii="Times New Roman" w:hAnsi="Times New Roman" w:cs="Times New Roman"/>
          <w:sz w:val="24"/>
          <w:szCs w:val="24"/>
          <w:lang w:val="en-US"/>
        </w:rPr>
        <w:t xml:space="preserve"> Prior EFA alpha coefficient was equal to 0.838 for suppliers and 0.775 for customers, whilst post EFA alpha coefficient for Customer-Supplier relationship was found as high as 0.871.</w:t>
      </w:r>
    </w:p>
    <w:p w:rsidR="00544B44" w:rsidRDefault="00544B44" w:rsidP="004D45C1">
      <w:pPr>
        <w:rPr>
          <w:rFonts w:ascii="Times New Roman" w:hAnsi="Times New Roman" w:cs="Times New Roman"/>
          <w:i/>
          <w:sz w:val="24"/>
          <w:szCs w:val="24"/>
          <w:lang w:val="en-US"/>
        </w:rPr>
      </w:pPr>
    </w:p>
    <w:p w:rsidR="005C7A9A" w:rsidRDefault="006E0032" w:rsidP="004D45C1">
      <w:pPr>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D</w:t>
      </w:r>
      <w:r w:rsidRPr="006E0032">
        <w:rPr>
          <w:rFonts w:ascii="Times New Roman" w:hAnsi="Times New Roman" w:cs="Times New Roman"/>
          <w:i/>
          <w:sz w:val="24"/>
          <w:szCs w:val="24"/>
          <w:lang w:val="en-US"/>
        </w:rPr>
        <w:t>iscriminant validity and</w:t>
      </w:r>
      <w:r>
        <w:rPr>
          <w:rFonts w:ascii="Times New Roman" w:hAnsi="Times New Roman" w:cs="Times New Roman"/>
          <w:i/>
          <w:sz w:val="24"/>
          <w:szCs w:val="24"/>
          <w:lang w:val="en-US"/>
        </w:rPr>
        <w:t xml:space="preserve"> average variance</w:t>
      </w:r>
      <w:r w:rsidR="005C7A9A">
        <w:rPr>
          <w:rFonts w:ascii="Times New Roman" w:hAnsi="Times New Roman" w:cs="Times New Roman"/>
          <w:i/>
          <w:sz w:val="24"/>
          <w:szCs w:val="24"/>
          <w:lang w:val="en-US"/>
        </w:rPr>
        <w:t xml:space="preserve"> extracted</w:t>
      </w:r>
    </w:p>
    <w:p w:rsidR="006E0032" w:rsidRPr="00496F78" w:rsidRDefault="006E0032" w:rsidP="004D45C1">
      <w:pPr>
        <w:tabs>
          <w:tab w:val="left" w:pos="1260"/>
        </w:tabs>
        <w:autoSpaceDE w:val="0"/>
        <w:autoSpaceDN w:val="0"/>
        <w:adjustRightInd w:val="0"/>
        <w:ind w:firstLine="288"/>
        <w:jc w:val="both"/>
        <w:rPr>
          <w:rFonts w:ascii="Times New Roman" w:hAnsi="Times New Roman" w:cs="Times New Roman"/>
          <w:i/>
          <w:iCs/>
          <w:sz w:val="24"/>
          <w:szCs w:val="24"/>
          <w:lang w:val="en-US"/>
        </w:rPr>
      </w:pPr>
      <w:r w:rsidRPr="00496F78">
        <w:rPr>
          <w:rFonts w:ascii="Times New Roman" w:hAnsi="Times New Roman" w:cs="Times New Roman"/>
          <w:bCs/>
          <w:sz w:val="24"/>
          <w:szCs w:val="24"/>
          <w:lang w:val="en-US"/>
        </w:rPr>
        <w:t xml:space="preserve">Discriminant validity </w:t>
      </w:r>
      <w:r w:rsidRPr="00496F78">
        <w:rPr>
          <w:rFonts w:ascii="Times New Roman" w:hAnsi="Times New Roman" w:cs="Times New Roman"/>
          <w:sz w:val="24"/>
          <w:szCs w:val="24"/>
          <w:lang w:val="en-US"/>
        </w:rPr>
        <w:t xml:space="preserve">reflects the extent to which a construct is truly distinct from other constructs both in terms of how much it correlates with other constructs and how distinctly measured variables represent only this single construct. Thus, high discriminant validity provides evidence that a construct is unique and captures some phenomena other measures do not. </w:t>
      </w:r>
      <w:r w:rsidRPr="00496F78">
        <w:rPr>
          <w:rFonts w:ascii="Times New Roman" w:hAnsi="Times New Roman" w:cs="Times New Roman"/>
          <w:color w:val="111111"/>
          <w:sz w:val="24"/>
          <w:szCs w:val="24"/>
          <w:shd w:val="clear" w:color="auto" w:fill="FFFFFF"/>
          <w:lang w:val="en-US"/>
        </w:rPr>
        <w:t xml:space="preserve">The results of factor analysis do support discriminant validity, since the items of each identified component load strongly on a single factor or - in other words - all </w:t>
      </w:r>
      <w:r w:rsidRPr="00496F78">
        <w:rPr>
          <w:rFonts w:ascii="Times New Roman" w:hAnsi="Times New Roman" w:cs="Times New Roman"/>
          <w:sz w:val="24"/>
          <w:szCs w:val="24"/>
          <w:lang w:val="en-US"/>
        </w:rPr>
        <w:t>individual measured items represent only one latent construct with the absence of cross-l</w:t>
      </w:r>
      <w:r w:rsidR="00421EEC" w:rsidRPr="00496F78">
        <w:rPr>
          <w:rFonts w:ascii="Times New Roman" w:hAnsi="Times New Roman" w:cs="Times New Roman"/>
          <w:sz w:val="24"/>
          <w:szCs w:val="24"/>
          <w:lang w:val="en-US"/>
        </w:rPr>
        <w:t xml:space="preserve">oadings (Hair et al., 2014: </w:t>
      </w:r>
      <w:r w:rsidRPr="00496F78">
        <w:rPr>
          <w:rFonts w:ascii="Times New Roman" w:hAnsi="Times New Roman" w:cs="Times New Roman"/>
          <w:sz w:val="24"/>
          <w:szCs w:val="24"/>
          <w:lang w:val="en-US"/>
        </w:rPr>
        <w:t>624-625).</w:t>
      </w:r>
    </w:p>
    <w:p w:rsidR="002B5C86" w:rsidRPr="00496F78" w:rsidRDefault="002B5C86" w:rsidP="004D45C1">
      <w:pPr>
        <w:tabs>
          <w:tab w:val="left" w:pos="1260"/>
        </w:tabs>
        <w:autoSpaceDE w:val="0"/>
        <w:autoSpaceDN w:val="0"/>
        <w:adjustRightInd w:val="0"/>
        <w:ind w:firstLine="288"/>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 xml:space="preserve">Average variance extracted (AVE) </w:t>
      </w:r>
      <w:r w:rsidR="00B35287" w:rsidRPr="00496F78">
        <w:rPr>
          <w:rFonts w:ascii="Times New Roman" w:hAnsi="Times New Roman" w:cs="Times New Roman"/>
          <w:sz w:val="24"/>
          <w:szCs w:val="24"/>
          <w:lang w:val="en-US"/>
        </w:rPr>
        <w:t>is a</w:t>
      </w:r>
      <w:r w:rsidRPr="00496F78">
        <w:rPr>
          <w:rFonts w:ascii="Times New Roman" w:hAnsi="Times New Roman" w:cs="Times New Roman"/>
          <w:sz w:val="24"/>
          <w:szCs w:val="24"/>
          <w:lang w:val="en-US"/>
        </w:rPr>
        <w:t xml:space="preserve"> summary measure of convergence among a set of items representing a latent construct. It is the average percentage of variation explained (variance extracted) among the items of a construct.</w:t>
      </w:r>
      <w:r w:rsidR="006E0032" w:rsidRPr="00496F78">
        <w:rPr>
          <w:rFonts w:ascii="Times New Roman" w:hAnsi="Times New Roman" w:cs="Times New Roman"/>
          <w:sz w:val="24"/>
          <w:szCs w:val="24"/>
          <w:lang w:val="en-US"/>
        </w:rPr>
        <w:t xml:space="preserve"> AVE values are presented in the following table</w:t>
      </w:r>
      <w:r w:rsidR="00025AEE" w:rsidRPr="00496F78">
        <w:rPr>
          <w:rFonts w:ascii="Times New Roman" w:hAnsi="Times New Roman" w:cs="Times New Roman"/>
          <w:sz w:val="24"/>
          <w:szCs w:val="24"/>
          <w:lang w:val="en-US"/>
        </w:rPr>
        <w:t xml:space="preserve"> (see Table 6)</w:t>
      </w:r>
      <w:r w:rsidR="006E0032" w:rsidRPr="00496F78">
        <w:rPr>
          <w:rFonts w:ascii="Times New Roman" w:hAnsi="Times New Roman" w:cs="Times New Roman"/>
          <w:sz w:val="24"/>
          <w:szCs w:val="24"/>
          <w:lang w:val="en-US"/>
        </w:rPr>
        <w:t>.</w:t>
      </w:r>
    </w:p>
    <w:p w:rsidR="0040780B" w:rsidRPr="00496F78" w:rsidRDefault="0040780B" w:rsidP="004D45C1">
      <w:pPr>
        <w:tabs>
          <w:tab w:val="left" w:pos="1260"/>
        </w:tabs>
        <w:autoSpaceDE w:val="0"/>
        <w:autoSpaceDN w:val="0"/>
        <w:adjustRightInd w:val="0"/>
        <w:jc w:val="both"/>
        <w:rPr>
          <w:rFonts w:ascii="Times New Roman" w:hAnsi="Times New Roman" w:cs="Times New Roman"/>
          <w:sz w:val="24"/>
          <w:szCs w:val="24"/>
          <w:lang w:val="en-US"/>
        </w:rPr>
      </w:pPr>
    </w:p>
    <w:p w:rsidR="002B5C86" w:rsidRDefault="00FD145E" w:rsidP="002B5C86">
      <w:pPr>
        <w:tabs>
          <w:tab w:val="left" w:pos="1260"/>
        </w:tabs>
        <w:autoSpaceDE w:val="0"/>
        <w:autoSpaceDN w:val="0"/>
        <w:adjustRightInd w:val="0"/>
        <w:spacing w:after="120"/>
        <w:jc w:val="both"/>
        <w:rPr>
          <w:rFonts w:ascii="Times New Roman" w:hAnsi="Times New Roman" w:cs="Times New Roman"/>
          <w:sz w:val="20"/>
          <w:szCs w:val="20"/>
        </w:rPr>
      </w:pPr>
      <w:r w:rsidRPr="00AF51C2">
        <w:rPr>
          <w:rFonts w:ascii="Times New Roman" w:hAnsi="Times New Roman" w:cs="Times New Roman"/>
          <w:b/>
          <w:sz w:val="20"/>
          <w:szCs w:val="20"/>
        </w:rPr>
        <w:t>Table 6</w:t>
      </w:r>
      <w:r w:rsidR="00377129" w:rsidRPr="00AF51C2">
        <w:rPr>
          <w:rFonts w:ascii="Times New Roman" w:hAnsi="Times New Roman" w:cs="Times New Roman"/>
          <w:b/>
          <w:sz w:val="20"/>
          <w:szCs w:val="20"/>
        </w:rPr>
        <w:t>.</w:t>
      </w:r>
      <w:r w:rsidR="00377129" w:rsidRPr="00AF51C2">
        <w:rPr>
          <w:rFonts w:ascii="Times New Roman" w:hAnsi="Times New Roman" w:cs="Times New Roman"/>
          <w:sz w:val="20"/>
          <w:szCs w:val="20"/>
        </w:rPr>
        <w:t xml:space="preserve"> Convergent validity</w:t>
      </w:r>
    </w:p>
    <w:p w:rsidR="00AF51C2" w:rsidRPr="00AF51C2" w:rsidRDefault="00AF51C2" w:rsidP="002B5C86">
      <w:pPr>
        <w:tabs>
          <w:tab w:val="left" w:pos="1260"/>
        </w:tabs>
        <w:autoSpaceDE w:val="0"/>
        <w:autoSpaceDN w:val="0"/>
        <w:adjustRightInd w:val="0"/>
        <w:spacing w:after="120"/>
        <w:jc w:val="both"/>
        <w:rPr>
          <w:rFonts w:ascii="Times New Roman" w:hAnsi="Times New Roman" w:cs="Times New Roman"/>
          <w:sz w:val="20"/>
          <w:szCs w:val="20"/>
        </w:rPr>
      </w:pPr>
    </w:p>
    <w:tbl>
      <w:tblPr>
        <w:tblW w:w="5900" w:type="dxa"/>
        <w:jc w:val="center"/>
        <w:tblLook w:val="04A0"/>
      </w:tblPr>
      <w:tblGrid>
        <w:gridCol w:w="3820"/>
        <w:gridCol w:w="1100"/>
        <w:gridCol w:w="980"/>
      </w:tblGrid>
      <w:tr w:rsidR="001C4933" w:rsidRPr="00A1221B" w:rsidTr="00A1221B">
        <w:trPr>
          <w:trHeight w:val="216"/>
          <w:tblHeader/>
          <w:jc w:val="center"/>
        </w:trPr>
        <w:tc>
          <w:tcPr>
            <w:tcW w:w="3820" w:type="dxa"/>
            <w:tcBorders>
              <w:top w:val="nil"/>
              <w:left w:val="nil"/>
              <w:bottom w:val="nil"/>
              <w:right w:val="nil"/>
            </w:tcBorders>
            <w:shd w:val="clear" w:color="000000" w:fill="B8CCE4"/>
            <w:hideMark/>
          </w:tcPr>
          <w:p w:rsidR="001C4933" w:rsidRPr="00A1221B" w:rsidRDefault="001C4933" w:rsidP="00544B44">
            <w:pPr>
              <w:jc w:val="both"/>
              <w:rPr>
                <w:rFonts w:ascii="Times New Roman" w:eastAsia="Times New Roman" w:hAnsi="Times New Roman" w:cs="Times New Roman"/>
                <w:b/>
                <w:bCs/>
                <w:sz w:val="20"/>
                <w:szCs w:val="20"/>
                <w:lang w:val="en-US" w:eastAsia="el-GR"/>
              </w:rPr>
            </w:pPr>
            <w:r w:rsidRPr="00A1221B">
              <w:rPr>
                <w:rFonts w:ascii="Times New Roman" w:eastAsia="Times New Roman" w:hAnsi="Times New Roman" w:cs="Times New Roman"/>
                <w:b/>
                <w:bCs/>
                <w:sz w:val="20"/>
                <w:szCs w:val="20"/>
                <w:lang w:val="en-US" w:eastAsia="el-GR"/>
              </w:rPr>
              <w:t>Constructs</w:t>
            </w:r>
          </w:p>
        </w:tc>
        <w:tc>
          <w:tcPr>
            <w:tcW w:w="1100" w:type="dxa"/>
            <w:tcBorders>
              <w:top w:val="nil"/>
              <w:left w:val="nil"/>
              <w:bottom w:val="nil"/>
              <w:right w:val="nil"/>
            </w:tcBorders>
            <w:shd w:val="clear" w:color="000000" w:fill="F2DDDC"/>
            <w:hideMark/>
          </w:tcPr>
          <w:p w:rsidR="001C4933" w:rsidRPr="00A1221B" w:rsidRDefault="001C4933" w:rsidP="00544B44">
            <w:pPr>
              <w:jc w:val="center"/>
              <w:rPr>
                <w:rFonts w:ascii="Times New Roman" w:eastAsia="Times New Roman" w:hAnsi="Times New Roman" w:cs="Times New Roman"/>
                <w:b/>
                <w:bCs/>
                <w:sz w:val="20"/>
                <w:szCs w:val="20"/>
                <w:lang w:val="en-US" w:eastAsia="el-GR"/>
              </w:rPr>
            </w:pPr>
            <w:r w:rsidRPr="00A1221B">
              <w:rPr>
                <w:rFonts w:ascii="Times New Roman" w:eastAsia="Times New Roman" w:hAnsi="Times New Roman" w:cs="Times New Roman"/>
                <w:b/>
                <w:bCs/>
                <w:sz w:val="20"/>
                <w:szCs w:val="20"/>
                <w:lang w:val="en-US" w:eastAsia="el-GR"/>
              </w:rPr>
              <w:t>CR</w:t>
            </w:r>
          </w:p>
        </w:tc>
        <w:tc>
          <w:tcPr>
            <w:tcW w:w="980" w:type="dxa"/>
            <w:tcBorders>
              <w:top w:val="nil"/>
              <w:left w:val="nil"/>
              <w:bottom w:val="nil"/>
              <w:right w:val="nil"/>
            </w:tcBorders>
            <w:shd w:val="clear" w:color="000000" w:fill="FDE9D9"/>
            <w:hideMark/>
          </w:tcPr>
          <w:p w:rsidR="001C4933" w:rsidRPr="00A1221B" w:rsidRDefault="001C4933" w:rsidP="00544B44">
            <w:pPr>
              <w:jc w:val="center"/>
              <w:rPr>
                <w:rFonts w:ascii="Times New Roman" w:eastAsia="Times New Roman" w:hAnsi="Times New Roman" w:cs="Times New Roman"/>
                <w:b/>
                <w:bCs/>
                <w:sz w:val="20"/>
                <w:szCs w:val="20"/>
                <w:lang w:val="en-US" w:eastAsia="el-GR"/>
              </w:rPr>
            </w:pPr>
            <w:r w:rsidRPr="00A1221B">
              <w:rPr>
                <w:rFonts w:ascii="Times New Roman" w:eastAsia="Times New Roman" w:hAnsi="Times New Roman" w:cs="Times New Roman"/>
                <w:b/>
                <w:bCs/>
                <w:sz w:val="20"/>
                <w:szCs w:val="20"/>
                <w:lang w:val="en-US" w:eastAsia="el-GR"/>
              </w:rPr>
              <w:t>AVE</w:t>
            </w:r>
          </w:p>
        </w:tc>
      </w:tr>
      <w:tr w:rsidR="001C4933" w:rsidRPr="00A1221B" w:rsidTr="00A1221B">
        <w:trPr>
          <w:trHeight w:val="117"/>
          <w:jc w:val="center"/>
        </w:trPr>
        <w:tc>
          <w:tcPr>
            <w:tcW w:w="3820" w:type="dxa"/>
            <w:tcBorders>
              <w:top w:val="nil"/>
              <w:left w:val="nil"/>
              <w:bottom w:val="nil"/>
              <w:right w:val="nil"/>
            </w:tcBorders>
            <w:shd w:val="clear" w:color="auto" w:fill="auto"/>
            <w:noWrap/>
            <w:vAlign w:val="bottom"/>
            <w:hideMark/>
          </w:tcPr>
          <w:p w:rsidR="001C4933" w:rsidRPr="00A1221B" w:rsidRDefault="001C4933" w:rsidP="00544B44">
            <w:pPr>
              <w:rPr>
                <w:rFonts w:ascii="Times New Roman" w:eastAsia="Times New Roman" w:hAnsi="Times New Roman" w:cs="Times New Roman"/>
                <w:b/>
                <w:bCs/>
                <w:i/>
                <w:iCs/>
                <w:color w:val="000000"/>
                <w:sz w:val="20"/>
                <w:szCs w:val="20"/>
                <w:lang w:val="en-US" w:eastAsia="el-GR"/>
              </w:rPr>
            </w:pPr>
            <w:r w:rsidRPr="00A1221B">
              <w:rPr>
                <w:rFonts w:ascii="Times New Roman" w:eastAsia="Times New Roman" w:hAnsi="Times New Roman" w:cs="Times New Roman"/>
                <w:b/>
                <w:bCs/>
                <w:i/>
                <w:iCs/>
                <w:color w:val="000000"/>
                <w:sz w:val="20"/>
                <w:szCs w:val="20"/>
                <w:lang w:val="en-US" w:eastAsia="el-GR"/>
              </w:rPr>
              <w:t>Internalization</w:t>
            </w:r>
          </w:p>
        </w:tc>
        <w:tc>
          <w:tcPr>
            <w:tcW w:w="1100" w:type="dxa"/>
            <w:tcBorders>
              <w:top w:val="nil"/>
              <w:left w:val="nil"/>
              <w:bottom w:val="nil"/>
              <w:right w:val="nil"/>
            </w:tcBorders>
            <w:shd w:val="clear" w:color="auto" w:fill="auto"/>
            <w:noWrap/>
            <w:vAlign w:val="bottom"/>
            <w:hideMark/>
          </w:tcPr>
          <w:p w:rsidR="001C4933" w:rsidRPr="00A1221B" w:rsidRDefault="001C4933" w:rsidP="00544B44">
            <w:pPr>
              <w:rPr>
                <w:rFonts w:ascii="Times New Roman" w:eastAsia="Times New Roman" w:hAnsi="Times New Roman" w:cs="Times New Roman"/>
                <w:color w:val="000000"/>
                <w:sz w:val="20"/>
                <w:szCs w:val="20"/>
                <w:lang w:val="en-US" w:eastAsia="el-GR"/>
              </w:rPr>
            </w:pPr>
          </w:p>
        </w:tc>
        <w:tc>
          <w:tcPr>
            <w:tcW w:w="980" w:type="dxa"/>
            <w:tcBorders>
              <w:top w:val="nil"/>
              <w:left w:val="nil"/>
              <w:bottom w:val="nil"/>
              <w:right w:val="nil"/>
            </w:tcBorders>
            <w:shd w:val="clear" w:color="auto" w:fill="auto"/>
            <w:noWrap/>
            <w:vAlign w:val="center"/>
            <w:hideMark/>
          </w:tcPr>
          <w:p w:rsidR="001C4933" w:rsidRPr="00A1221B" w:rsidRDefault="001C4933" w:rsidP="00544B44">
            <w:pPr>
              <w:jc w:val="center"/>
              <w:rPr>
                <w:rFonts w:ascii="Times New Roman" w:eastAsia="Times New Roman" w:hAnsi="Times New Roman" w:cs="Times New Roman"/>
                <w:color w:val="000000"/>
                <w:sz w:val="20"/>
                <w:szCs w:val="20"/>
                <w:lang w:val="en-US" w:eastAsia="el-GR"/>
              </w:rPr>
            </w:pPr>
          </w:p>
        </w:tc>
      </w:tr>
      <w:tr w:rsidR="001C4933" w:rsidRPr="00A1221B" w:rsidTr="00A1221B">
        <w:trPr>
          <w:trHeight w:val="315"/>
          <w:jc w:val="center"/>
        </w:trPr>
        <w:tc>
          <w:tcPr>
            <w:tcW w:w="3820" w:type="dxa"/>
            <w:tcBorders>
              <w:top w:val="nil"/>
              <w:left w:val="nil"/>
              <w:bottom w:val="nil"/>
              <w:right w:val="nil"/>
            </w:tcBorders>
            <w:shd w:val="clear" w:color="auto" w:fill="E5DFEC" w:themeFill="accent4" w:themeFillTint="33"/>
            <w:vAlign w:val="center"/>
            <w:hideMark/>
          </w:tcPr>
          <w:p w:rsidR="001C4933" w:rsidRPr="00A1221B" w:rsidRDefault="001C4933"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Internal processes integration level</w:t>
            </w:r>
          </w:p>
        </w:tc>
        <w:tc>
          <w:tcPr>
            <w:tcW w:w="1100" w:type="dxa"/>
            <w:tcBorders>
              <w:top w:val="nil"/>
              <w:left w:val="nil"/>
              <w:bottom w:val="nil"/>
              <w:right w:val="nil"/>
            </w:tcBorders>
            <w:shd w:val="clear" w:color="auto" w:fill="E5DFEC" w:themeFill="accent4" w:themeFillTint="3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0,948</w:t>
            </w:r>
          </w:p>
        </w:tc>
        <w:tc>
          <w:tcPr>
            <w:tcW w:w="980" w:type="dxa"/>
            <w:tcBorders>
              <w:top w:val="nil"/>
              <w:left w:val="nil"/>
              <w:bottom w:val="nil"/>
              <w:right w:val="nil"/>
            </w:tcBorders>
            <w:shd w:val="clear" w:color="auto" w:fill="E5DFEC" w:themeFill="accent4" w:themeFillTint="3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0,646</w:t>
            </w:r>
          </w:p>
        </w:tc>
      </w:tr>
      <w:tr w:rsidR="001C4933" w:rsidRPr="00A1221B" w:rsidTr="00A1221B">
        <w:trPr>
          <w:trHeight w:val="342"/>
          <w:jc w:val="center"/>
        </w:trPr>
        <w:tc>
          <w:tcPr>
            <w:tcW w:w="3820" w:type="dxa"/>
            <w:tcBorders>
              <w:top w:val="nil"/>
              <w:left w:val="nil"/>
              <w:bottom w:val="nil"/>
              <w:right w:val="nil"/>
            </w:tcBorders>
            <w:shd w:val="clear" w:color="auto" w:fill="E5DFEC" w:themeFill="accent4" w:themeFillTint="33"/>
            <w:vAlign w:val="center"/>
            <w:hideMark/>
          </w:tcPr>
          <w:p w:rsidR="001C4933" w:rsidRPr="00A1221B" w:rsidRDefault="001C4933"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Audits integration level</w:t>
            </w:r>
          </w:p>
        </w:tc>
        <w:tc>
          <w:tcPr>
            <w:tcW w:w="1100" w:type="dxa"/>
            <w:tcBorders>
              <w:top w:val="nil"/>
              <w:left w:val="nil"/>
              <w:bottom w:val="nil"/>
              <w:right w:val="nil"/>
            </w:tcBorders>
            <w:shd w:val="clear" w:color="auto" w:fill="E5DFEC" w:themeFill="accent4" w:themeFillTint="3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0,879</w:t>
            </w:r>
          </w:p>
        </w:tc>
        <w:tc>
          <w:tcPr>
            <w:tcW w:w="980" w:type="dxa"/>
            <w:tcBorders>
              <w:top w:val="nil"/>
              <w:left w:val="nil"/>
              <w:bottom w:val="nil"/>
              <w:right w:val="nil"/>
            </w:tcBorders>
            <w:shd w:val="clear" w:color="auto" w:fill="E5DFEC" w:themeFill="accent4" w:themeFillTint="3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0,650</w:t>
            </w:r>
          </w:p>
        </w:tc>
      </w:tr>
      <w:tr w:rsidR="001C4933" w:rsidRPr="00A1221B" w:rsidTr="00570AF4">
        <w:trPr>
          <w:trHeight w:val="315"/>
          <w:jc w:val="center"/>
        </w:trPr>
        <w:tc>
          <w:tcPr>
            <w:tcW w:w="3820" w:type="dxa"/>
            <w:tcBorders>
              <w:top w:val="nil"/>
              <w:left w:val="nil"/>
              <w:bottom w:val="nil"/>
              <w:right w:val="nil"/>
            </w:tcBorders>
            <w:shd w:val="clear" w:color="000000" w:fill="E5E0EC"/>
            <w:vAlign w:val="center"/>
            <w:hideMark/>
          </w:tcPr>
          <w:p w:rsidR="001C4933" w:rsidRPr="00A1221B" w:rsidRDefault="001C4933" w:rsidP="00544B44">
            <w:pPr>
              <w:rPr>
                <w:rFonts w:ascii="Times New Roman" w:eastAsia="Times New Roman" w:hAnsi="Times New Roman" w:cs="Times New Roman"/>
                <w:sz w:val="20"/>
                <w:szCs w:val="20"/>
                <w:lang w:val="en-US" w:eastAsia="el-GR"/>
              </w:rPr>
            </w:pPr>
            <w:r w:rsidRPr="00A1221B">
              <w:rPr>
                <w:rFonts w:ascii="Times New Roman" w:eastAsia="Times New Roman" w:hAnsi="Times New Roman" w:cs="Times New Roman"/>
                <w:sz w:val="20"/>
                <w:szCs w:val="20"/>
                <w:lang w:val="en-US" w:eastAsia="el-GR"/>
              </w:rPr>
              <w:t>Human Resources</w:t>
            </w:r>
          </w:p>
        </w:tc>
        <w:tc>
          <w:tcPr>
            <w:tcW w:w="110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val="en-US" w:eastAsia="el-GR"/>
              </w:rPr>
            </w:pPr>
            <w:r w:rsidRPr="00A1221B">
              <w:rPr>
                <w:rFonts w:ascii="Times New Roman" w:eastAsia="Times New Roman" w:hAnsi="Times New Roman" w:cs="Times New Roman"/>
                <w:sz w:val="20"/>
                <w:szCs w:val="20"/>
                <w:lang w:val="en-US" w:eastAsia="el-GR"/>
              </w:rPr>
              <w:t>0,835</w:t>
            </w:r>
          </w:p>
        </w:tc>
        <w:tc>
          <w:tcPr>
            <w:tcW w:w="98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val="en-US" w:eastAsia="el-GR"/>
              </w:rPr>
            </w:pPr>
            <w:r w:rsidRPr="00A1221B">
              <w:rPr>
                <w:rFonts w:ascii="Times New Roman" w:eastAsia="Times New Roman" w:hAnsi="Times New Roman" w:cs="Times New Roman"/>
                <w:sz w:val="20"/>
                <w:szCs w:val="20"/>
                <w:lang w:val="en-US" w:eastAsia="el-GR"/>
              </w:rPr>
              <w:t>0,559</w:t>
            </w:r>
          </w:p>
        </w:tc>
      </w:tr>
      <w:tr w:rsidR="001C4933" w:rsidRPr="00A1221B" w:rsidTr="00570AF4">
        <w:trPr>
          <w:trHeight w:val="300"/>
          <w:jc w:val="center"/>
        </w:trPr>
        <w:tc>
          <w:tcPr>
            <w:tcW w:w="3820" w:type="dxa"/>
            <w:tcBorders>
              <w:top w:val="nil"/>
              <w:left w:val="nil"/>
              <w:bottom w:val="nil"/>
              <w:right w:val="nil"/>
            </w:tcBorders>
            <w:shd w:val="clear" w:color="000000" w:fill="E5E0EC"/>
            <w:noWrap/>
            <w:vAlign w:val="center"/>
            <w:hideMark/>
          </w:tcPr>
          <w:p w:rsidR="001C4933" w:rsidRPr="00A1221B" w:rsidRDefault="001C4933" w:rsidP="00544B44">
            <w:pPr>
              <w:rPr>
                <w:rFonts w:ascii="Times New Roman" w:eastAsia="Times New Roman" w:hAnsi="Times New Roman" w:cs="Times New Roman"/>
                <w:sz w:val="20"/>
                <w:szCs w:val="20"/>
                <w:lang w:val="en-US" w:eastAsia="el-GR"/>
              </w:rPr>
            </w:pPr>
            <w:r w:rsidRPr="00A1221B">
              <w:rPr>
                <w:rFonts w:ascii="Times New Roman" w:eastAsia="Times New Roman" w:hAnsi="Times New Roman" w:cs="Times New Roman"/>
                <w:sz w:val="20"/>
                <w:szCs w:val="20"/>
                <w:lang w:val="en-US" w:eastAsia="el-GR"/>
              </w:rPr>
              <w:t>Strategic Resources</w:t>
            </w:r>
          </w:p>
        </w:tc>
        <w:tc>
          <w:tcPr>
            <w:tcW w:w="110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val="en-US" w:eastAsia="el-GR"/>
              </w:rPr>
            </w:pPr>
            <w:r w:rsidRPr="00A1221B">
              <w:rPr>
                <w:rFonts w:ascii="Times New Roman" w:eastAsia="Times New Roman" w:hAnsi="Times New Roman" w:cs="Times New Roman"/>
                <w:sz w:val="20"/>
                <w:szCs w:val="20"/>
                <w:lang w:val="en-US" w:eastAsia="el-GR"/>
              </w:rPr>
              <w:t>0,723</w:t>
            </w:r>
          </w:p>
        </w:tc>
        <w:tc>
          <w:tcPr>
            <w:tcW w:w="98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0,467</w:t>
            </w:r>
          </w:p>
        </w:tc>
      </w:tr>
      <w:tr w:rsidR="001C4933" w:rsidRPr="00A1221B" w:rsidTr="00570AF4">
        <w:trPr>
          <w:trHeight w:val="300"/>
          <w:jc w:val="center"/>
        </w:trPr>
        <w:tc>
          <w:tcPr>
            <w:tcW w:w="3820" w:type="dxa"/>
            <w:tcBorders>
              <w:top w:val="nil"/>
              <w:left w:val="nil"/>
              <w:bottom w:val="nil"/>
              <w:right w:val="nil"/>
            </w:tcBorders>
            <w:shd w:val="clear" w:color="000000" w:fill="E5E0EC"/>
            <w:noWrap/>
            <w:vAlign w:val="center"/>
            <w:hideMark/>
          </w:tcPr>
          <w:p w:rsidR="001C4933" w:rsidRPr="00A1221B" w:rsidRDefault="001C4933"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Information Systems</w:t>
            </w:r>
          </w:p>
        </w:tc>
        <w:tc>
          <w:tcPr>
            <w:tcW w:w="110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0,833</w:t>
            </w:r>
          </w:p>
        </w:tc>
        <w:tc>
          <w:tcPr>
            <w:tcW w:w="98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0,627</w:t>
            </w:r>
          </w:p>
        </w:tc>
      </w:tr>
      <w:tr w:rsidR="001C4933" w:rsidRPr="00A1221B" w:rsidTr="00570AF4">
        <w:trPr>
          <w:trHeight w:val="300"/>
          <w:jc w:val="center"/>
        </w:trPr>
        <w:tc>
          <w:tcPr>
            <w:tcW w:w="3820" w:type="dxa"/>
            <w:tcBorders>
              <w:top w:val="nil"/>
              <w:left w:val="nil"/>
              <w:bottom w:val="nil"/>
              <w:right w:val="nil"/>
            </w:tcBorders>
            <w:shd w:val="clear" w:color="000000" w:fill="E5E0EC"/>
            <w:noWrap/>
            <w:vAlign w:val="center"/>
            <w:hideMark/>
          </w:tcPr>
          <w:p w:rsidR="001C4933" w:rsidRPr="00A1221B" w:rsidRDefault="001C4933"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Outsourcing</w:t>
            </w:r>
          </w:p>
        </w:tc>
        <w:tc>
          <w:tcPr>
            <w:tcW w:w="110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0,883</w:t>
            </w:r>
          </w:p>
        </w:tc>
        <w:tc>
          <w:tcPr>
            <w:tcW w:w="98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0,716</w:t>
            </w:r>
          </w:p>
        </w:tc>
      </w:tr>
      <w:tr w:rsidR="001C4933" w:rsidRPr="00A1221B" w:rsidTr="00570AF4">
        <w:trPr>
          <w:trHeight w:val="300"/>
          <w:jc w:val="center"/>
        </w:trPr>
        <w:tc>
          <w:tcPr>
            <w:tcW w:w="3820" w:type="dxa"/>
            <w:tcBorders>
              <w:top w:val="nil"/>
              <w:left w:val="nil"/>
              <w:bottom w:val="nil"/>
              <w:right w:val="nil"/>
            </w:tcBorders>
            <w:shd w:val="clear" w:color="000000" w:fill="E5E0EC"/>
            <w:noWrap/>
            <w:vAlign w:val="center"/>
            <w:hideMark/>
          </w:tcPr>
          <w:p w:rsidR="001C4933" w:rsidRPr="00A1221B" w:rsidRDefault="001C4933"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Integration tools</w:t>
            </w:r>
          </w:p>
        </w:tc>
        <w:tc>
          <w:tcPr>
            <w:tcW w:w="110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0,722</w:t>
            </w:r>
          </w:p>
        </w:tc>
        <w:tc>
          <w:tcPr>
            <w:tcW w:w="980" w:type="dxa"/>
            <w:tcBorders>
              <w:top w:val="nil"/>
              <w:left w:val="nil"/>
              <w:bottom w:val="nil"/>
              <w:right w:val="nil"/>
            </w:tcBorders>
            <w:shd w:val="clear" w:color="000000" w:fill="E5E0EC"/>
            <w:noWrap/>
            <w:vAlign w:val="center"/>
            <w:hideMark/>
          </w:tcPr>
          <w:p w:rsidR="001C4933" w:rsidRPr="00A1221B" w:rsidRDefault="001C4933" w:rsidP="00544B44">
            <w:pPr>
              <w:jc w:val="right"/>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0,469</w:t>
            </w:r>
          </w:p>
        </w:tc>
      </w:tr>
      <w:tr w:rsidR="001C4933" w:rsidRPr="00A1221B" w:rsidTr="00A1221B">
        <w:trPr>
          <w:trHeight w:val="189"/>
          <w:jc w:val="center"/>
        </w:trPr>
        <w:tc>
          <w:tcPr>
            <w:tcW w:w="3820" w:type="dxa"/>
            <w:tcBorders>
              <w:top w:val="nil"/>
              <w:left w:val="nil"/>
              <w:bottom w:val="nil"/>
              <w:right w:val="nil"/>
            </w:tcBorders>
            <w:shd w:val="clear" w:color="auto" w:fill="auto"/>
            <w:vAlign w:val="center"/>
            <w:hideMark/>
          </w:tcPr>
          <w:p w:rsidR="001C4933" w:rsidRPr="00A1221B" w:rsidRDefault="001C4933" w:rsidP="00544B44">
            <w:pPr>
              <w:rPr>
                <w:rFonts w:ascii="Times New Roman" w:eastAsia="Times New Roman" w:hAnsi="Times New Roman" w:cs="Times New Roman"/>
                <w:b/>
                <w:bCs/>
                <w:i/>
                <w:iCs/>
                <w:sz w:val="20"/>
                <w:szCs w:val="20"/>
                <w:lang w:eastAsia="el-GR"/>
              </w:rPr>
            </w:pPr>
            <w:r w:rsidRPr="00A1221B">
              <w:rPr>
                <w:rFonts w:ascii="Times New Roman" w:eastAsia="Times New Roman" w:hAnsi="Times New Roman" w:cs="Times New Roman"/>
                <w:b/>
                <w:bCs/>
                <w:i/>
                <w:iCs/>
                <w:sz w:val="20"/>
                <w:szCs w:val="20"/>
                <w:lang w:eastAsia="el-GR"/>
              </w:rPr>
              <w:t>Corporate Sustainability Performance</w:t>
            </w:r>
          </w:p>
        </w:tc>
        <w:tc>
          <w:tcPr>
            <w:tcW w:w="1100" w:type="dxa"/>
            <w:tcBorders>
              <w:top w:val="nil"/>
              <w:left w:val="nil"/>
              <w:bottom w:val="nil"/>
              <w:right w:val="nil"/>
            </w:tcBorders>
            <w:shd w:val="clear" w:color="auto" w:fill="auto"/>
            <w:noWrap/>
            <w:vAlign w:val="center"/>
            <w:hideMark/>
          </w:tcPr>
          <w:p w:rsidR="001C4933" w:rsidRPr="00A1221B" w:rsidRDefault="001C4933" w:rsidP="00544B44">
            <w:pPr>
              <w:rPr>
                <w:rFonts w:ascii="Times New Roman" w:eastAsia="Times New Roman" w:hAnsi="Times New Roman" w:cs="Times New Roman"/>
                <w:b/>
                <w:bCs/>
                <w:i/>
                <w:iCs/>
                <w:sz w:val="20"/>
                <w:szCs w:val="20"/>
                <w:lang w:eastAsia="el-GR"/>
              </w:rPr>
            </w:pPr>
          </w:p>
        </w:tc>
        <w:tc>
          <w:tcPr>
            <w:tcW w:w="980" w:type="dxa"/>
            <w:tcBorders>
              <w:top w:val="nil"/>
              <w:left w:val="nil"/>
              <w:bottom w:val="nil"/>
              <w:right w:val="nil"/>
            </w:tcBorders>
            <w:shd w:val="clear" w:color="auto" w:fill="auto"/>
            <w:noWrap/>
            <w:vAlign w:val="center"/>
            <w:hideMark/>
          </w:tcPr>
          <w:p w:rsidR="001C4933" w:rsidRPr="00A1221B" w:rsidRDefault="001C4933" w:rsidP="00544B44">
            <w:pPr>
              <w:rPr>
                <w:rFonts w:ascii="Times New Roman" w:eastAsia="Times New Roman" w:hAnsi="Times New Roman" w:cs="Times New Roman"/>
                <w:b/>
                <w:bCs/>
                <w:i/>
                <w:iCs/>
                <w:sz w:val="20"/>
                <w:szCs w:val="20"/>
                <w:lang w:eastAsia="el-GR"/>
              </w:rPr>
            </w:pPr>
          </w:p>
        </w:tc>
      </w:tr>
      <w:tr w:rsidR="001C4933" w:rsidRPr="00A1221B" w:rsidTr="00A1221B">
        <w:trPr>
          <w:trHeight w:val="153"/>
          <w:jc w:val="center"/>
        </w:trPr>
        <w:tc>
          <w:tcPr>
            <w:tcW w:w="3820" w:type="dxa"/>
            <w:tcBorders>
              <w:top w:val="nil"/>
              <w:left w:val="nil"/>
              <w:bottom w:val="nil"/>
              <w:right w:val="nil"/>
            </w:tcBorders>
            <w:shd w:val="clear" w:color="000000" w:fill="DDD9C3"/>
            <w:vAlign w:val="center"/>
            <w:hideMark/>
          </w:tcPr>
          <w:p w:rsidR="001C4933" w:rsidRPr="00A1221B" w:rsidRDefault="001C4933" w:rsidP="00544B44">
            <w:pPr>
              <w:rPr>
                <w:rFonts w:ascii="Times New Roman" w:eastAsia="Times New Roman" w:hAnsi="Times New Roman" w:cs="Times New Roman"/>
                <w:sz w:val="20"/>
                <w:szCs w:val="20"/>
                <w:lang w:val="en-US" w:eastAsia="el-GR"/>
              </w:rPr>
            </w:pPr>
            <w:r w:rsidRPr="00A1221B">
              <w:rPr>
                <w:rFonts w:ascii="Times New Roman" w:eastAsia="Times New Roman" w:hAnsi="Times New Roman" w:cs="Times New Roman"/>
                <w:sz w:val="20"/>
                <w:szCs w:val="20"/>
                <w:lang w:val="en-US" w:eastAsia="el-GR"/>
              </w:rPr>
              <w:t>Customers-Suppliers Relationship</w:t>
            </w:r>
          </w:p>
        </w:tc>
        <w:tc>
          <w:tcPr>
            <w:tcW w:w="110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0,858</w:t>
            </w:r>
          </w:p>
        </w:tc>
        <w:tc>
          <w:tcPr>
            <w:tcW w:w="98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0,466</w:t>
            </w:r>
          </w:p>
        </w:tc>
      </w:tr>
      <w:tr w:rsidR="001C4933" w:rsidRPr="00A1221B" w:rsidTr="00570AF4">
        <w:trPr>
          <w:trHeight w:val="360"/>
          <w:jc w:val="center"/>
        </w:trPr>
        <w:tc>
          <w:tcPr>
            <w:tcW w:w="3820" w:type="dxa"/>
            <w:tcBorders>
              <w:top w:val="nil"/>
              <w:left w:val="nil"/>
              <w:bottom w:val="nil"/>
              <w:right w:val="nil"/>
            </w:tcBorders>
            <w:shd w:val="clear" w:color="000000" w:fill="DDD9C3"/>
            <w:vAlign w:val="center"/>
            <w:hideMark/>
          </w:tcPr>
          <w:p w:rsidR="001C4933" w:rsidRPr="00A1221B" w:rsidRDefault="001C4933"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Employees</w:t>
            </w:r>
          </w:p>
        </w:tc>
        <w:tc>
          <w:tcPr>
            <w:tcW w:w="110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0,843</w:t>
            </w:r>
          </w:p>
        </w:tc>
        <w:tc>
          <w:tcPr>
            <w:tcW w:w="98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0,522</w:t>
            </w:r>
          </w:p>
        </w:tc>
      </w:tr>
      <w:tr w:rsidR="001C4933" w:rsidRPr="00A1221B" w:rsidTr="00A1221B">
        <w:trPr>
          <w:trHeight w:val="70"/>
          <w:jc w:val="center"/>
        </w:trPr>
        <w:tc>
          <w:tcPr>
            <w:tcW w:w="3820" w:type="dxa"/>
            <w:tcBorders>
              <w:top w:val="nil"/>
              <w:left w:val="nil"/>
              <w:bottom w:val="nil"/>
              <w:right w:val="nil"/>
            </w:tcBorders>
            <w:shd w:val="clear" w:color="000000" w:fill="DDD9C3"/>
            <w:vAlign w:val="center"/>
            <w:hideMark/>
          </w:tcPr>
          <w:p w:rsidR="001C4933" w:rsidRPr="00A1221B" w:rsidRDefault="001C4933"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Environment</w:t>
            </w:r>
          </w:p>
        </w:tc>
        <w:tc>
          <w:tcPr>
            <w:tcW w:w="110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0,815</w:t>
            </w:r>
          </w:p>
        </w:tc>
        <w:tc>
          <w:tcPr>
            <w:tcW w:w="98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0,429</w:t>
            </w:r>
          </w:p>
        </w:tc>
      </w:tr>
      <w:tr w:rsidR="001C4933" w:rsidRPr="00A1221B" w:rsidTr="00570AF4">
        <w:trPr>
          <w:trHeight w:val="405"/>
          <w:jc w:val="center"/>
        </w:trPr>
        <w:tc>
          <w:tcPr>
            <w:tcW w:w="3820" w:type="dxa"/>
            <w:tcBorders>
              <w:top w:val="nil"/>
              <w:left w:val="nil"/>
              <w:bottom w:val="nil"/>
              <w:right w:val="nil"/>
            </w:tcBorders>
            <w:shd w:val="clear" w:color="000000" w:fill="DDD9C3"/>
            <w:vAlign w:val="center"/>
            <w:hideMark/>
          </w:tcPr>
          <w:p w:rsidR="001C4933" w:rsidRPr="00A1221B" w:rsidRDefault="005655DE"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Financial institutions</w:t>
            </w:r>
          </w:p>
        </w:tc>
        <w:tc>
          <w:tcPr>
            <w:tcW w:w="110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0,881</w:t>
            </w:r>
          </w:p>
        </w:tc>
        <w:tc>
          <w:tcPr>
            <w:tcW w:w="98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0,712</w:t>
            </w:r>
          </w:p>
        </w:tc>
      </w:tr>
      <w:tr w:rsidR="001C4933" w:rsidRPr="00A1221B" w:rsidTr="00570AF4">
        <w:trPr>
          <w:trHeight w:val="315"/>
          <w:jc w:val="center"/>
        </w:trPr>
        <w:tc>
          <w:tcPr>
            <w:tcW w:w="3820" w:type="dxa"/>
            <w:tcBorders>
              <w:top w:val="nil"/>
              <w:left w:val="nil"/>
              <w:bottom w:val="nil"/>
              <w:right w:val="nil"/>
            </w:tcBorders>
            <w:shd w:val="clear" w:color="000000" w:fill="DDD9C3"/>
            <w:noWrap/>
            <w:vAlign w:val="center"/>
            <w:hideMark/>
          </w:tcPr>
          <w:p w:rsidR="001C4933" w:rsidRPr="00A1221B" w:rsidRDefault="001C4933"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Society</w:t>
            </w:r>
          </w:p>
        </w:tc>
        <w:tc>
          <w:tcPr>
            <w:tcW w:w="110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0,682</w:t>
            </w:r>
          </w:p>
        </w:tc>
        <w:tc>
          <w:tcPr>
            <w:tcW w:w="98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0,419</w:t>
            </w:r>
          </w:p>
        </w:tc>
      </w:tr>
      <w:tr w:rsidR="001C4933" w:rsidRPr="00A1221B" w:rsidTr="00570AF4">
        <w:trPr>
          <w:trHeight w:val="315"/>
          <w:jc w:val="center"/>
        </w:trPr>
        <w:tc>
          <w:tcPr>
            <w:tcW w:w="3820" w:type="dxa"/>
            <w:tcBorders>
              <w:top w:val="nil"/>
              <w:left w:val="nil"/>
              <w:bottom w:val="nil"/>
              <w:right w:val="nil"/>
            </w:tcBorders>
            <w:shd w:val="clear" w:color="000000" w:fill="DDD9C3"/>
            <w:vAlign w:val="center"/>
            <w:hideMark/>
          </w:tcPr>
          <w:p w:rsidR="001C4933" w:rsidRPr="00A1221B" w:rsidRDefault="001C4933" w:rsidP="00544B44">
            <w:pPr>
              <w:rPr>
                <w:rFonts w:ascii="Times New Roman" w:eastAsia="Times New Roman" w:hAnsi="Times New Roman" w:cs="Times New Roman"/>
                <w:sz w:val="20"/>
                <w:szCs w:val="20"/>
                <w:lang w:eastAsia="el-GR"/>
              </w:rPr>
            </w:pPr>
            <w:r w:rsidRPr="00A1221B">
              <w:rPr>
                <w:rFonts w:ascii="Times New Roman" w:eastAsia="Times New Roman" w:hAnsi="Times New Roman" w:cs="Times New Roman"/>
                <w:sz w:val="20"/>
                <w:szCs w:val="20"/>
                <w:lang w:eastAsia="el-GR"/>
              </w:rPr>
              <w:t>State</w:t>
            </w:r>
          </w:p>
        </w:tc>
        <w:tc>
          <w:tcPr>
            <w:tcW w:w="110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0,795</w:t>
            </w:r>
          </w:p>
        </w:tc>
        <w:tc>
          <w:tcPr>
            <w:tcW w:w="980" w:type="dxa"/>
            <w:tcBorders>
              <w:top w:val="nil"/>
              <w:left w:val="nil"/>
              <w:bottom w:val="nil"/>
              <w:right w:val="nil"/>
            </w:tcBorders>
            <w:shd w:val="clear" w:color="000000" w:fill="DDD9C3"/>
            <w:noWrap/>
            <w:vAlign w:val="center"/>
            <w:hideMark/>
          </w:tcPr>
          <w:p w:rsidR="001C4933" w:rsidRPr="00A1221B" w:rsidRDefault="001C4933" w:rsidP="00544B44">
            <w:pPr>
              <w:jc w:val="right"/>
              <w:rPr>
                <w:rFonts w:ascii="Times New Roman" w:eastAsia="Times New Roman" w:hAnsi="Times New Roman" w:cs="Times New Roman"/>
                <w:color w:val="000000"/>
                <w:sz w:val="20"/>
                <w:szCs w:val="20"/>
                <w:lang w:eastAsia="el-GR"/>
              </w:rPr>
            </w:pPr>
            <w:r w:rsidRPr="00A1221B">
              <w:rPr>
                <w:rFonts w:ascii="Times New Roman" w:eastAsia="Times New Roman" w:hAnsi="Times New Roman" w:cs="Times New Roman"/>
                <w:color w:val="000000"/>
                <w:sz w:val="20"/>
                <w:szCs w:val="20"/>
                <w:lang w:eastAsia="el-GR"/>
              </w:rPr>
              <w:t>0,570</w:t>
            </w:r>
          </w:p>
        </w:tc>
      </w:tr>
    </w:tbl>
    <w:p w:rsidR="002B5C86" w:rsidRPr="008751F4" w:rsidRDefault="002B5C86" w:rsidP="00CF30B3">
      <w:pPr>
        <w:ind w:firstLine="288"/>
        <w:rPr>
          <w:rFonts w:ascii="Times New Roman" w:hAnsi="Times New Roman" w:cs="Times New Roman"/>
          <w:sz w:val="24"/>
          <w:szCs w:val="24"/>
          <w:lang w:val="en-US"/>
        </w:rPr>
      </w:pPr>
    </w:p>
    <w:p w:rsidR="00313B02" w:rsidRPr="008751F4" w:rsidRDefault="00313B02" w:rsidP="00CF30B3">
      <w:pPr>
        <w:shd w:val="clear" w:color="auto" w:fill="FFFFFF"/>
        <w:ind w:firstLine="288"/>
        <w:jc w:val="both"/>
        <w:rPr>
          <w:rFonts w:ascii="Times New Roman" w:eastAsia="Times New Roman" w:hAnsi="Times New Roman" w:cs="Times New Roman"/>
          <w:color w:val="111111"/>
          <w:sz w:val="24"/>
          <w:szCs w:val="24"/>
          <w:lang w:val="en-US"/>
        </w:rPr>
      </w:pPr>
      <w:r w:rsidRPr="008751F4">
        <w:rPr>
          <w:rFonts w:ascii="Times New Roman" w:eastAsia="Times New Roman" w:hAnsi="Times New Roman" w:cs="Times New Roman"/>
          <w:color w:val="111111"/>
          <w:sz w:val="24"/>
          <w:szCs w:val="24"/>
          <w:lang w:val="en-US"/>
        </w:rPr>
        <w:t>Average Variance Extracted (AVE) should generally be higher than 0.5 yet values between 0.4 and 0.5 are accepted when composite (or construct) reliability is higher than 0.6, the convergent validity of the constr</w:t>
      </w:r>
      <w:r w:rsidR="00421EEC">
        <w:rPr>
          <w:rFonts w:ascii="Times New Roman" w:eastAsia="Times New Roman" w:hAnsi="Times New Roman" w:cs="Times New Roman"/>
          <w:color w:val="111111"/>
          <w:sz w:val="24"/>
          <w:szCs w:val="24"/>
          <w:lang w:val="en-US"/>
        </w:rPr>
        <w:t>uct is still adequate (Fornell and</w:t>
      </w:r>
      <w:r w:rsidRPr="008751F4">
        <w:rPr>
          <w:rFonts w:ascii="Times New Roman" w:eastAsia="Times New Roman" w:hAnsi="Times New Roman" w:cs="Times New Roman"/>
          <w:color w:val="111111"/>
          <w:sz w:val="24"/>
          <w:szCs w:val="24"/>
          <w:lang w:val="en-US"/>
        </w:rPr>
        <w:t xml:space="preserve"> Larcker, 1981)</w:t>
      </w:r>
    </w:p>
    <w:p w:rsidR="00313B02" w:rsidRPr="008751F4" w:rsidRDefault="00313B02" w:rsidP="00CF30B3">
      <w:pPr>
        <w:tabs>
          <w:tab w:val="left" w:pos="284"/>
        </w:tabs>
        <w:rPr>
          <w:rFonts w:ascii="Times New Roman" w:hAnsi="Times New Roman" w:cs="Times New Roman"/>
          <w:sz w:val="24"/>
          <w:szCs w:val="24"/>
          <w:lang w:val="en-US"/>
        </w:rPr>
      </w:pPr>
    </w:p>
    <w:p w:rsidR="002463F6" w:rsidRDefault="002463F6" w:rsidP="00CF30B3">
      <w:pPr>
        <w:pStyle w:val="Paragraphedeliste"/>
        <w:numPr>
          <w:ilvl w:val="0"/>
          <w:numId w:val="1"/>
        </w:numPr>
        <w:tabs>
          <w:tab w:val="left" w:pos="284"/>
        </w:tabs>
        <w:spacing w:after="0" w:line="240" w:lineRule="auto"/>
        <w:ind w:left="0" w:firstLine="0"/>
        <w:rPr>
          <w:rFonts w:ascii="Times New Roman" w:hAnsi="Times New Roman"/>
          <w:b/>
          <w:sz w:val="24"/>
          <w:szCs w:val="24"/>
          <w:lang w:val="en-US"/>
        </w:rPr>
      </w:pPr>
      <w:r w:rsidRPr="008751F4">
        <w:rPr>
          <w:rFonts w:ascii="Times New Roman" w:hAnsi="Times New Roman"/>
          <w:b/>
          <w:sz w:val="24"/>
          <w:szCs w:val="24"/>
          <w:lang w:val="en-US"/>
        </w:rPr>
        <w:t>Discussion</w:t>
      </w:r>
      <w:r w:rsidR="00DA3582">
        <w:rPr>
          <w:rFonts w:ascii="Times New Roman" w:hAnsi="Times New Roman"/>
          <w:b/>
          <w:sz w:val="24"/>
          <w:szCs w:val="24"/>
          <w:lang w:val="en-US"/>
        </w:rPr>
        <w:t xml:space="preserve"> and conclusion</w:t>
      </w:r>
    </w:p>
    <w:p w:rsidR="008F26F1" w:rsidRPr="008751F4" w:rsidRDefault="008F26F1" w:rsidP="008F26F1">
      <w:pPr>
        <w:pStyle w:val="Paragraphedeliste"/>
        <w:tabs>
          <w:tab w:val="left" w:pos="284"/>
        </w:tabs>
        <w:spacing w:after="0" w:line="240" w:lineRule="auto"/>
        <w:ind w:left="0"/>
        <w:rPr>
          <w:rFonts w:ascii="Times New Roman" w:hAnsi="Times New Roman"/>
          <w:b/>
          <w:sz w:val="24"/>
          <w:szCs w:val="24"/>
          <w:lang w:val="en-US"/>
        </w:rPr>
      </w:pPr>
    </w:p>
    <w:p w:rsidR="00B01273" w:rsidRDefault="00D36530" w:rsidP="00CF30B3">
      <w:pPr>
        <w:tabs>
          <w:tab w:val="left" w:pos="284"/>
        </w:tabs>
        <w:ind w:firstLine="288"/>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The exploratory factor analysis</w:t>
      </w:r>
      <w:r w:rsidR="006B3AD3" w:rsidRPr="008751F4">
        <w:rPr>
          <w:rFonts w:ascii="Times New Roman" w:hAnsi="Times New Roman" w:cs="Times New Roman"/>
          <w:sz w:val="24"/>
          <w:szCs w:val="24"/>
          <w:lang w:val="en-US"/>
        </w:rPr>
        <w:t xml:space="preserve"> revealed seven factors that reflect internalization and six factors that </w:t>
      </w:r>
      <w:r w:rsidR="006D7EA0" w:rsidRPr="008751F4">
        <w:rPr>
          <w:rFonts w:ascii="Times New Roman" w:hAnsi="Times New Roman" w:cs="Times New Roman"/>
          <w:sz w:val="24"/>
          <w:szCs w:val="24"/>
          <w:lang w:val="en-US"/>
        </w:rPr>
        <w:t>‘</w:t>
      </w:r>
      <w:r w:rsidR="006B3AD3" w:rsidRPr="008751F4">
        <w:rPr>
          <w:rFonts w:ascii="Times New Roman" w:hAnsi="Times New Roman" w:cs="Times New Roman"/>
          <w:sz w:val="24"/>
          <w:szCs w:val="24"/>
          <w:lang w:val="en-US"/>
        </w:rPr>
        <w:t>measure</w:t>
      </w:r>
      <w:r w:rsidR="006D7EA0" w:rsidRPr="008751F4">
        <w:rPr>
          <w:rFonts w:ascii="Times New Roman" w:hAnsi="Times New Roman" w:cs="Times New Roman"/>
          <w:sz w:val="24"/>
          <w:szCs w:val="24"/>
          <w:lang w:val="en-US"/>
        </w:rPr>
        <w:t>’</w:t>
      </w:r>
      <w:r w:rsidR="006B3AD3" w:rsidRPr="008751F4">
        <w:rPr>
          <w:rFonts w:ascii="Times New Roman" w:hAnsi="Times New Roman" w:cs="Times New Roman"/>
          <w:sz w:val="24"/>
          <w:szCs w:val="24"/>
          <w:lang w:val="en-US"/>
        </w:rPr>
        <w:t xml:space="preserve"> corporate sustainability performance.</w:t>
      </w:r>
      <w:r w:rsidR="000074D2" w:rsidRPr="008751F4">
        <w:rPr>
          <w:rFonts w:ascii="Times New Roman" w:hAnsi="Times New Roman" w:cs="Times New Roman"/>
          <w:sz w:val="24"/>
          <w:szCs w:val="24"/>
          <w:lang w:val="en-US"/>
        </w:rPr>
        <w:t xml:space="preserve"> </w:t>
      </w:r>
      <w:r w:rsidR="00EE5980" w:rsidRPr="008751F4">
        <w:rPr>
          <w:rFonts w:ascii="Times New Roman" w:hAnsi="Times New Roman" w:cs="Times New Roman"/>
          <w:sz w:val="24"/>
          <w:szCs w:val="24"/>
          <w:lang w:val="en-US"/>
        </w:rPr>
        <w:t xml:space="preserve">Two </w:t>
      </w:r>
      <w:r w:rsidR="006D7EA0" w:rsidRPr="008751F4">
        <w:rPr>
          <w:rFonts w:ascii="Times New Roman" w:hAnsi="Times New Roman" w:cs="Times New Roman"/>
          <w:sz w:val="24"/>
          <w:szCs w:val="24"/>
          <w:lang w:val="en-US"/>
        </w:rPr>
        <w:t xml:space="preserve">of the internalization </w:t>
      </w:r>
      <w:r w:rsidR="00EE5980" w:rsidRPr="008751F4">
        <w:rPr>
          <w:rFonts w:ascii="Times New Roman" w:hAnsi="Times New Roman" w:cs="Times New Roman"/>
          <w:sz w:val="24"/>
          <w:szCs w:val="24"/>
          <w:lang w:val="en-US"/>
        </w:rPr>
        <w:t>factors reflect the integration level of the internal processes and the audits</w:t>
      </w:r>
      <w:r w:rsidR="001A7FDD">
        <w:rPr>
          <w:rFonts w:ascii="Times New Roman" w:hAnsi="Times New Roman" w:cs="Times New Roman"/>
          <w:sz w:val="24"/>
          <w:szCs w:val="24"/>
          <w:lang w:val="en-US"/>
        </w:rPr>
        <w:t xml:space="preserve"> indicating the de</w:t>
      </w:r>
      <w:r w:rsidR="004637AA">
        <w:rPr>
          <w:rFonts w:ascii="Times New Roman" w:hAnsi="Times New Roman" w:cs="Times New Roman"/>
          <w:sz w:val="24"/>
          <w:szCs w:val="24"/>
          <w:lang w:val="en-US"/>
        </w:rPr>
        <w:t xml:space="preserve">pth of the integration i.e. the degree of merging and penetration of multiple management systems within </w:t>
      </w:r>
      <w:r w:rsidR="00B01273">
        <w:rPr>
          <w:rFonts w:ascii="Times New Roman" w:hAnsi="Times New Roman" w:cs="Times New Roman"/>
          <w:sz w:val="24"/>
          <w:szCs w:val="24"/>
          <w:lang w:val="en-US"/>
        </w:rPr>
        <w:t xml:space="preserve">the </w:t>
      </w:r>
      <w:r w:rsidR="004637AA">
        <w:rPr>
          <w:rFonts w:ascii="Times New Roman" w:hAnsi="Times New Roman" w:cs="Times New Roman"/>
          <w:sz w:val="24"/>
          <w:szCs w:val="24"/>
          <w:lang w:val="en-US"/>
        </w:rPr>
        <w:t>organizational fabric</w:t>
      </w:r>
      <w:r w:rsidR="00EE5980" w:rsidRPr="008751F4">
        <w:rPr>
          <w:rFonts w:ascii="Times New Roman" w:hAnsi="Times New Roman" w:cs="Times New Roman"/>
          <w:sz w:val="24"/>
          <w:szCs w:val="24"/>
          <w:lang w:val="en-US"/>
        </w:rPr>
        <w:t xml:space="preserve">. </w:t>
      </w:r>
      <w:r w:rsidR="004637AA">
        <w:rPr>
          <w:rFonts w:ascii="Times New Roman" w:hAnsi="Times New Roman" w:cs="Times New Roman"/>
          <w:sz w:val="24"/>
          <w:szCs w:val="24"/>
          <w:lang w:val="en-US"/>
        </w:rPr>
        <w:t xml:space="preserve">The remaining five factors </w:t>
      </w:r>
      <w:r w:rsidR="00EE5980" w:rsidRPr="008751F4">
        <w:rPr>
          <w:rFonts w:ascii="Times New Roman" w:hAnsi="Times New Roman" w:cs="Times New Roman"/>
          <w:sz w:val="24"/>
          <w:szCs w:val="24"/>
          <w:lang w:val="en-US"/>
        </w:rPr>
        <w:t xml:space="preserve">represent resources that contribute to the integrated implementation of multiple management systems. </w:t>
      </w:r>
      <w:r w:rsidR="001A7FDD">
        <w:rPr>
          <w:rFonts w:ascii="Times New Roman" w:hAnsi="Times New Roman" w:cs="Times New Roman"/>
          <w:sz w:val="24"/>
          <w:szCs w:val="24"/>
          <w:lang w:val="en-US"/>
        </w:rPr>
        <w:t xml:space="preserve">These resources are mostly tacit </w:t>
      </w:r>
      <w:r w:rsidR="004637AA">
        <w:rPr>
          <w:rFonts w:ascii="Times New Roman" w:hAnsi="Times New Roman" w:cs="Times New Roman"/>
          <w:sz w:val="24"/>
          <w:szCs w:val="24"/>
          <w:lang w:val="en-US"/>
        </w:rPr>
        <w:lastRenderedPageBreak/>
        <w:t xml:space="preserve">and refer to gained experience and awareness based on information and knowledge. Thus, by their identity and function all seven factors serve internalization </w:t>
      </w:r>
      <w:r w:rsidR="004D38CD">
        <w:rPr>
          <w:rFonts w:ascii="Times New Roman" w:hAnsi="Times New Roman" w:cs="Times New Roman"/>
          <w:sz w:val="24"/>
          <w:szCs w:val="24"/>
          <w:lang w:val="en-US"/>
        </w:rPr>
        <w:t>addressing its key features</w:t>
      </w:r>
      <w:r w:rsidR="00B01273">
        <w:rPr>
          <w:rFonts w:ascii="Times New Roman" w:hAnsi="Times New Roman" w:cs="Times New Roman"/>
          <w:sz w:val="24"/>
          <w:szCs w:val="24"/>
          <w:lang w:val="en-US"/>
        </w:rPr>
        <w:t>, i.e. the development of firm</w:t>
      </w:r>
      <w:r w:rsidR="00FF1AE3">
        <w:rPr>
          <w:rFonts w:ascii="Times New Roman" w:hAnsi="Times New Roman" w:cs="Times New Roman"/>
          <w:sz w:val="24"/>
          <w:szCs w:val="24"/>
          <w:lang w:val="en-US"/>
        </w:rPr>
        <w:t>s’</w:t>
      </w:r>
      <w:r w:rsidR="00B01273">
        <w:rPr>
          <w:rFonts w:ascii="Times New Roman" w:hAnsi="Times New Roman" w:cs="Times New Roman"/>
          <w:sz w:val="24"/>
          <w:szCs w:val="24"/>
          <w:lang w:val="en-US"/>
        </w:rPr>
        <w:t xml:space="preserve"> human, organizational and social capital (Ataseven et al., 2014).</w:t>
      </w:r>
    </w:p>
    <w:p w:rsidR="00964544" w:rsidRDefault="00AF1A18" w:rsidP="00CF30B3">
      <w:pPr>
        <w:tabs>
          <w:tab w:val="left" w:pos="284"/>
        </w:tabs>
        <w:ind w:firstLine="28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performance factors that are identified by EFA </w:t>
      </w:r>
      <w:r w:rsidR="006D7EA0" w:rsidRPr="008751F4">
        <w:rPr>
          <w:rFonts w:ascii="Times New Roman" w:hAnsi="Times New Roman" w:cs="Times New Roman"/>
          <w:sz w:val="24"/>
          <w:szCs w:val="24"/>
          <w:lang w:val="en-US"/>
        </w:rPr>
        <w:t>those that reflect</w:t>
      </w:r>
      <w:r w:rsidR="000074D2" w:rsidRPr="008751F4">
        <w:rPr>
          <w:rFonts w:ascii="Times New Roman" w:hAnsi="Times New Roman" w:cs="Times New Roman"/>
          <w:sz w:val="24"/>
          <w:szCs w:val="24"/>
          <w:lang w:val="en-US"/>
        </w:rPr>
        <w:t xml:space="preserve"> the </w:t>
      </w:r>
      <w:r w:rsidR="006D7EA0" w:rsidRPr="008751F4">
        <w:rPr>
          <w:rFonts w:ascii="Times New Roman" w:hAnsi="Times New Roman" w:cs="Times New Roman"/>
          <w:sz w:val="24"/>
          <w:szCs w:val="24"/>
          <w:lang w:val="en-US"/>
        </w:rPr>
        <w:t xml:space="preserve">closest </w:t>
      </w:r>
      <w:r w:rsidR="000074D2" w:rsidRPr="008751F4">
        <w:rPr>
          <w:rFonts w:ascii="Times New Roman" w:hAnsi="Times New Roman" w:cs="Times New Roman"/>
          <w:sz w:val="24"/>
          <w:szCs w:val="24"/>
          <w:lang w:val="en-US"/>
        </w:rPr>
        <w:t>external stakeholders, i.e. the customers and the suppliers, seem to be strongly interrelated.</w:t>
      </w:r>
      <w:r w:rsidR="006D7EA0" w:rsidRPr="008751F4">
        <w:rPr>
          <w:rFonts w:ascii="Times New Roman" w:hAnsi="Times New Roman" w:cs="Times New Roman"/>
          <w:sz w:val="24"/>
          <w:szCs w:val="24"/>
          <w:lang w:val="en-US"/>
        </w:rPr>
        <w:t xml:space="preserve"> This observation may be attributed to the former, </w:t>
      </w:r>
      <w:r w:rsidR="001029ED" w:rsidRPr="008751F4">
        <w:rPr>
          <w:rFonts w:ascii="Times New Roman" w:hAnsi="Times New Roman" w:cs="Times New Roman"/>
          <w:sz w:val="24"/>
          <w:szCs w:val="24"/>
          <w:lang w:val="en-US"/>
        </w:rPr>
        <w:t>less extrovert</w:t>
      </w:r>
      <w:r w:rsidR="006D7EA0" w:rsidRPr="008751F4">
        <w:rPr>
          <w:rFonts w:ascii="Times New Roman" w:hAnsi="Times New Roman" w:cs="Times New Roman"/>
          <w:sz w:val="24"/>
          <w:szCs w:val="24"/>
          <w:lang w:val="en-US"/>
        </w:rPr>
        <w:t xml:space="preserve"> perspective of the quality management standard that </w:t>
      </w:r>
      <w:r w:rsidR="001029ED" w:rsidRPr="008751F4">
        <w:rPr>
          <w:rFonts w:ascii="Times New Roman" w:hAnsi="Times New Roman" w:cs="Times New Roman"/>
          <w:sz w:val="24"/>
          <w:szCs w:val="24"/>
          <w:lang w:val="en-US"/>
        </w:rPr>
        <w:t xml:space="preserve">included only the supplier and the customer within its scope. Firms with multiple management systems usually implement a quality management system first and, since the stakeholder approach was introduced only a few years before (2015), it can be expected that those two principal stakeholders are </w:t>
      </w:r>
      <w:r>
        <w:rPr>
          <w:rFonts w:ascii="Times New Roman" w:hAnsi="Times New Roman" w:cs="Times New Roman"/>
          <w:sz w:val="24"/>
          <w:szCs w:val="24"/>
          <w:lang w:val="en-US"/>
        </w:rPr>
        <w:t xml:space="preserve">primarily and </w:t>
      </w:r>
      <w:r w:rsidR="001029ED" w:rsidRPr="008751F4">
        <w:rPr>
          <w:rFonts w:ascii="Times New Roman" w:hAnsi="Times New Roman" w:cs="Times New Roman"/>
          <w:sz w:val="24"/>
          <w:szCs w:val="24"/>
          <w:lang w:val="en-US"/>
        </w:rPr>
        <w:t>jointly consider</w:t>
      </w:r>
      <w:r>
        <w:rPr>
          <w:rFonts w:ascii="Times New Roman" w:hAnsi="Times New Roman" w:cs="Times New Roman"/>
          <w:sz w:val="24"/>
          <w:szCs w:val="24"/>
          <w:lang w:val="en-US"/>
        </w:rPr>
        <w:t>ed by the majority of the firms both in the sample and in the general population.</w:t>
      </w:r>
      <w:r w:rsidR="005655DE">
        <w:rPr>
          <w:rFonts w:ascii="Times New Roman" w:hAnsi="Times New Roman" w:cs="Times New Roman"/>
          <w:sz w:val="24"/>
          <w:szCs w:val="24"/>
          <w:lang w:val="en-US"/>
        </w:rPr>
        <w:t xml:space="preserve"> Statistical analysis of data identified </w:t>
      </w:r>
      <w:r w:rsidR="00575D0B">
        <w:rPr>
          <w:rFonts w:ascii="Times New Roman" w:hAnsi="Times New Roman" w:cs="Times New Roman"/>
          <w:sz w:val="24"/>
          <w:szCs w:val="24"/>
          <w:lang w:val="en-US"/>
        </w:rPr>
        <w:t>five more factors contributing</w:t>
      </w:r>
      <w:r w:rsidR="0079359C">
        <w:rPr>
          <w:rFonts w:ascii="Times New Roman" w:hAnsi="Times New Roman" w:cs="Times New Roman"/>
          <w:sz w:val="24"/>
          <w:szCs w:val="24"/>
          <w:lang w:val="en-US"/>
        </w:rPr>
        <w:t xml:space="preserve"> in </w:t>
      </w:r>
      <w:r w:rsidR="005655DE">
        <w:rPr>
          <w:rFonts w:ascii="Times New Roman" w:hAnsi="Times New Roman" w:cs="Times New Roman"/>
          <w:sz w:val="24"/>
          <w:szCs w:val="24"/>
          <w:lang w:val="en-US"/>
        </w:rPr>
        <w:t xml:space="preserve">corporate sustainability performance, </w:t>
      </w:r>
      <w:r w:rsidR="00575D0B">
        <w:rPr>
          <w:rFonts w:ascii="Times New Roman" w:hAnsi="Times New Roman" w:cs="Times New Roman"/>
          <w:sz w:val="24"/>
          <w:szCs w:val="24"/>
          <w:lang w:val="en-US"/>
        </w:rPr>
        <w:t>that represent</w:t>
      </w:r>
      <w:r w:rsidR="005655DE">
        <w:rPr>
          <w:rFonts w:ascii="Times New Roman" w:hAnsi="Times New Roman" w:cs="Times New Roman"/>
          <w:sz w:val="24"/>
          <w:szCs w:val="24"/>
          <w:lang w:val="en-US"/>
        </w:rPr>
        <w:t xml:space="preserve"> firm interactions with the employees, the environment, the financial institutions, the state and society at large. </w:t>
      </w:r>
      <w:r w:rsidR="00575D0B">
        <w:rPr>
          <w:rFonts w:ascii="Times New Roman" w:hAnsi="Times New Roman" w:cs="Times New Roman"/>
          <w:sz w:val="24"/>
          <w:szCs w:val="24"/>
          <w:lang w:val="en-US"/>
        </w:rPr>
        <w:t xml:space="preserve">The involvement of </w:t>
      </w:r>
      <w:r w:rsidR="00F61BE5">
        <w:rPr>
          <w:rFonts w:ascii="Times New Roman" w:hAnsi="Times New Roman" w:cs="Times New Roman"/>
          <w:sz w:val="24"/>
          <w:szCs w:val="24"/>
          <w:lang w:val="en-US"/>
        </w:rPr>
        <w:t xml:space="preserve">both primary and </w:t>
      </w:r>
      <w:r w:rsidR="00575D0B">
        <w:rPr>
          <w:rFonts w:ascii="Times New Roman" w:hAnsi="Times New Roman" w:cs="Times New Roman"/>
          <w:sz w:val="24"/>
          <w:szCs w:val="24"/>
          <w:lang w:val="en-US"/>
        </w:rPr>
        <w:t>s</w:t>
      </w:r>
      <w:r w:rsidR="0079359C">
        <w:rPr>
          <w:rFonts w:ascii="Times New Roman" w:hAnsi="Times New Roman" w:cs="Times New Roman"/>
          <w:sz w:val="24"/>
          <w:szCs w:val="24"/>
          <w:lang w:val="en-US"/>
        </w:rPr>
        <w:t>econdary stakeholders</w:t>
      </w:r>
      <w:r w:rsidR="00F61BE5">
        <w:rPr>
          <w:rFonts w:ascii="Times New Roman" w:hAnsi="Times New Roman" w:cs="Times New Roman"/>
          <w:sz w:val="24"/>
          <w:szCs w:val="24"/>
          <w:lang w:val="en-US"/>
        </w:rPr>
        <w:t xml:space="preserve"> is thus assured</w:t>
      </w:r>
      <w:r w:rsidR="00575D0B">
        <w:rPr>
          <w:rFonts w:ascii="Times New Roman" w:hAnsi="Times New Roman" w:cs="Times New Roman"/>
          <w:sz w:val="24"/>
          <w:szCs w:val="24"/>
          <w:lang w:val="en-US"/>
        </w:rPr>
        <w:t xml:space="preserve">. </w:t>
      </w:r>
      <w:r w:rsidR="00F61BE5">
        <w:rPr>
          <w:rFonts w:ascii="Times New Roman" w:hAnsi="Times New Roman" w:cs="Times New Roman"/>
          <w:sz w:val="24"/>
          <w:szCs w:val="24"/>
          <w:lang w:val="en-US"/>
        </w:rPr>
        <w:t>The pressure of primary and secondary stakeholders has already been emphasi</w:t>
      </w:r>
      <w:r w:rsidR="00421EEC">
        <w:rPr>
          <w:rFonts w:ascii="Times New Roman" w:hAnsi="Times New Roman" w:cs="Times New Roman"/>
          <w:sz w:val="24"/>
          <w:szCs w:val="24"/>
          <w:lang w:val="en-US"/>
        </w:rPr>
        <w:t>zed on internalization (Castka and</w:t>
      </w:r>
      <w:r w:rsidR="00F61BE5">
        <w:rPr>
          <w:rFonts w:ascii="Times New Roman" w:hAnsi="Times New Roman" w:cs="Times New Roman"/>
          <w:sz w:val="24"/>
          <w:szCs w:val="24"/>
          <w:lang w:val="en-US"/>
        </w:rPr>
        <w:t xml:space="preserve"> Prajogo, 2013). In this research framework, the dual role of stakeholders is reflected by including primary and secondary stakeholders in the performance construct, as well.</w:t>
      </w:r>
    </w:p>
    <w:p w:rsidR="0066240C" w:rsidRDefault="00BF3CA4" w:rsidP="00CF30B3">
      <w:pPr>
        <w:tabs>
          <w:tab w:val="left" w:pos="284"/>
        </w:tabs>
        <w:ind w:firstLine="28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evident that corporate sustainability performance is a wide and multidimensional construct that needs a broad and holistic approach, like the stakeholder spectrum. </w:t>
      </w:r>
      <w:r w:rsidR="0066240C" w:rsidRPr="008751F4">
        <w:rPr>
          <w:rFonts w:ascii="Times New Roman" w:hAnsi="Times New Roman" w:cs="Times New Roman"/>
          <w:noProof/>
          <w:sz w:val="24"/>
          <w:szCs w:val="24"/>
          <w:lang w:val="en-US"/>
        </w:rPr>
        <w:t xml:space="preserve">In their latest version (2015) the two flagship standards, i.e. the quality and environmental management system standards, have evolved and are now understood within their context (political, economic, social, technological, ethical and legal) taking into account the requirements and </w:t>
      </w:r>
      <w:r w:rsidR="00DC78C0">
        <w:rPr>
          <w:rFonts w:ascii="Times New Roman" w:hAnsi="Times New Roman" w:cs="Times New Roman"/>
          <w:noProof/>
          <w:sz w:val="24"/>
          <w:szCs w:val="24"/>
          <w:lang w:val="en-US"/>
        </w:rPr>
        <w:t>perceptions</w:t>
      </w:r>
      <w:r w:rsidR="0066240C" w:rsidRPr="008751F4">
        <w:rPr>
          <w:rFonts w:ascii="Times New Roman" w:hAnsi="Times New Roman" w:cs="Times New Roman"/>
          <w:noProof/>
          <w:sz w:val="24"/>
          <w:szCs w:val="24"/>
          <w:lang w:val="en-US"/>
        </w:rPr>
        <w:t xml:space="preserve"> of relevant stakeholders.</w:t>
      </w:r>
      <w:r w:rsidR="00DA3582">
        <w:rPr>
          <w:rFonts w:ascii="Times New Roman" w:hAnsi="Times New Roman" w:cs="Times New Roman"/>
          <w:noProof/>
          <w:sz w:val="24"/>
          <w:szCs w:val="24"/>
          <w:lang w:val="en-US"/>
        </w:rPr>
        <w:t xml:space="preserve"> </w:t>
      </w:r>
      <w:r w:rsidR="0066240C" w:rsidRPr="008751F4">
        <w:rPr>
          <w:rFonts w:ascii="Times New Roman" w:hAnsi="Times New Roman" w:cs="Times New Roman"/>
          <w:sz w:val="24"/>
          <w:szCs w:val="24"/>
          <w:lang w:val="en-US"/>
        </w:rPr>
        <w:t xml:space="preserve">Following this </w:t>
      </w:r>
      <w:r w:rsidR="00DA3582">
        <w:rPr>
          <w:rFonts w:ascii="Times New Roman" w:hAnsi="Times New Roman" w:cs="Times New Roman"/>
          <w:sz w:val="24"/>
          <w:szCs w:val="24"/>
          <w:lang w:val="en-US"/>
        </w:rPr>
        <w:t>evolution</w:t>
      </w:r>
      <w:r w:rsidR="0066240C" w:rsidRPr="008751F4">
        <w:rPr>
          <w:rFonts w:ascii="Times New Roman" w:hAnsi="Times New Roman" w:cs="Times New Roman"/>
          <w:sz w:val="24"/>
          <w:szCs w:val="24"/>
          <w:lang w:val="en-US"/>
        </w:rPr>
        <w:t xml:space="preserve">, this research is useful for practitioners that in close collaboration with top management and the employees of enterprises may use integrated management systems as leverage for all individual management systems to improve </w:t>
      </w:r>
      <w:r w:rsidR="00DC78C0">
        <w:rPr>
          <w:rFonts w:ascii="Times New Roman" w:hAnsi="Times New Roman" w:cs="Times New Roman"/>
          <w:sz w:val="24"/>
          <w:szCs w:val="24"/>
          <w:lang w:val="en-US"/>
        </w:rPr>
        <w:t>enhancing</w:t>
      </w:r>
      <w:r w:rsidR="0066240C" w:rsidRPr="008751F4">
        <w:rPr>
          <w:rFonts w:ascii="Times New Roman" w:hAnsi="Times New Roman" w:cs="Times New Roman"/>
          <w:sz w:val="24"/>
          <w:szCs w:val="24"/>
          <w:lang w:val="en-US"/>
        </w:rPr>
        <w:t xml:space="preserve"> corporate sustainability performance.</w:t>
      </w:r>
    </w:p>
    <w:p w:rsidR="00BF3CA4" w:rsidRPr="008751F4" w:rsidRDefault="00012425" w:rsidP="00CF30B3">
      <w:pPr>
        <w:tabs>
          <w:tab w:val="left" w:pos="284"/>
        </w:tabs>
        <w:ind w:firstLine="28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1777F">
        <w:rPr>
          <w:rFonts w:ascii="Times New Roman" w:hAnsi="Times New Roman" w:cs="Times New Roman"/>
          <w:sz w:val="24"/>
          <w:szCs w:val="24"/>
          <w:lang w:val="en-US"/>
        </w:rPr>
        <w:t>his research aims to emphasize that i</w:t>
      </w:r>
      <w:r w:rsidR="0064449C">
        <w:rPr>
          <w:rFonts w:ascii="Times New Roman" w:hAnsi="Times New Roman" w:cs="Times New Roman"/>
          <w:sz w:val="24"/>
          <w:szCs w:val="24"/>
          <w:lang w:val="en-US"/>
        </w:rPr>
        <w:t xml:space="preserve">ntegrated management systems are not a mere addition of management systems </w:t>
      </w:r>
      <w:r w:rsidR="00F1777F">
        <w:rPr>
          <w:rFonts w:ascii="Times New Roman" w:hAnsi="Times New Roman" w:cs="Times New Roman"/>
          <w:sz w:val="24"/>
          <w:szCs w:val="24"/>
          <w:lang w:val="en-US"/>
        </w:rPr>
        <w:t>or a</w:t>
      </w:r>
      <w:r w:rsidR="0064449C">
        <w:rPr>
          <w:rFonts w:ascii="Times New Roman" w:hAnsi="Times New Roman" w:cs="Times New Roman"/>
          <w:sz w:val="24"/>
          <w:szCs w:val="24"/>
          <w:lang w:val="en-US"/>
        </w:rPr>
        <w:t xml:space="preserve"> </w:t>
      </w:r>
      <w:r w:rsidR="00F1777F">
        <w:rPr>
          <w:rFonts w:ascii="Times New Roman" w:hAnsi="Times New Roman" w:cs="Times New Roman"/>
          <w:sz w:val="24"/>
          <w:szCs w:val="24"/>
          <w:lang w:val="en-US"/>
        </w:rPr>
        <w:t>simple</w:t>
      </w:r>
      <w:r w:rsidR="0064449C">
        <w:rPr>
          <w:rFonts w:ascii="Times New Roman" w:hAnsi="Times New Roman" w:cs="Times New Roman"/>
          <w:sz w:val="24"/>
          <w:szCs w:val="24"/>
          <w:lang w:val="en-US"/>
        </w:rPr>
        <w:t xml:space="preserve"> a</w:t>
      </w:r>
      <w:r w:rsidR="00F1777F">
        <w:rPr>
          <w:rFonts w:ascii="Times New Roman" w:hAnsi="Times New Roman" w:cs="Times New Roman"/>
          <w:sz w:val="24"/>
          <w:szCs w:val="24"/>
          <w:lang w:val="en-US"/>
        </w:rPr>
        <w:t>lignment of</w:t>
      </w:r>
      <w:r w:rsidR="0064449C">
        <w:rPr>
          <w:rFonts w:ascii="Times New Roman" w:hAnsi="Times New Roman" w:cs="Times New Roman"/>
          <w:sz w:val="24"/>
          <w:szCs w:val="24"/>
          <w:lang w:val="en-US"/>
        </w:rPr>
        <w:t xml:space="preserve"> paragraphs of different standards</w:t>
      </w:r>
      <w:r>
        <w:rPr>
          <w:rFonts w:ascii="Times New Roman" w:hAnsi="Times New Roman" w:cs="Times New Roman"/>
          <w:sz w:val="24"/>
          <w:szCs w:val="24"/>
          <w:lang w:val="en-US"/>
        </w:rPr>
        <w:t>.</w:t>
      </w:r>
      <w:r w:rsidR="0064449C">
        <w:rPr>
          <w:rFonts w:ascii="Times New Roman" w:hAnsi="Times New Roman" w:cs="Times New Roman"/>
          <w:sz w:val="24"/>
          <w:szCs w:val="24"/>
          <w:lang w:val="en-US"/>
        </w:rPr>
        <w:t xml:space="preserve"> </w:t>
      </w:r>
      <w:r>
        <w:rPr>
          <w:rFonts w:ascii="Times New Roman" w:hAnsi="Times New Roman" w:cs="Times New Roman"/>
          <w:sz w:val="24"/>
          <w:szCs w:val="24"/>
          <w:lang w:val="en-US"/>
        </w:rPr>
        <w:t>Integrated management systems are not generally certifiable, after all. C</w:t>
      </w:r>
      <w:r w:rsidR="0064449C">
        <w:rPr>
          <w:rFonts w:ascii="Times New Roman" w:hAnsi="Times New Roman" w:cs="Times New Roman"/>
          <w:sz w:val="24"/>
          <w:szCs w:val="24"/>
          <w:lang w:val="en-US"/>
        </w:rPr>
        <w:t>ertifying compliance to several standards by yearly third-party audits is not what the standards’ are made for. For instance</w:t>
      </w:r>
      <w:r w:rsidR="00BF3CA4" w:rsidRPr="008751F4">
        <w:rPr>
          <w:rFonts w:ascii="Times New Roman" w:hAnsi="Times New Roman" w:cs="Times New Roman"/>
          <w:sz w:val="24"/>
          <w:szCs w:val="24"/>
          <w:lang w:val="en-US"/>
        </w:rPr>
        <w:t xml:space="preserve">, there are </w:t>
      </w:r>
      <w:r w:rsidR="0064449C">
        <w:rPr>
          <w:rFonts w:ascii="Times New Roman" w:hAnsi="Times New Roman" w:cs="Times New Roman"/>
          <w:sz w:val="24"/>
          <w:szCs w:val="24"/>
          <w:lang w:val="en-US"/>
        </w:rPr>
        <w:t xml:space="preserve">certain </w:t>
      </w:r>
      <w:r w:rsidR="00BF3CA4" w:rsidRPr="008751F4">
        <w:rPr>
          <w:rFonts w:ascii="Times New Roman" w:hAnsi="Times New Roman" w:cs="Times New Roman"/>
          <w:sz w:val="24"/>
          <w:szCs w:val="24"/>
          <w:lang w:val="en-US"/>
        </w:rPr>
        <w:t>guidelines</w:t>
      </w:r>
      <w:r w:rsidR="0064449C">
        <w:rPr>
          <w:rFonts w:ascii="Times New Roman" w:hAnsi="Times New Roman" w:cs="Times New Roman"/>
          <w:sz w:val="24"/>
          <w:szCs w:val="24"/>
          <w:lang w:val="en-US"/>
        </w:rPr>
        <w:t xml:space="preserve"> that are non-certifiable, yet provide firms with</w:t>
      </w:r>
      <w:r w:rsidR="000F23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useful </w:t>
      </w:r>
      <w:r w:rsidR="00F1777F">
        <w:rPr>
          <w:rFonts w:ascii="Times New Roman" w:hAnsi="Times New Roman" w:cs="Times New Roman"/>
          <w:sz w:val="24"/>
          <w:szCs w:val="24"/>
          <w:lang w:val="en-US"/>
        </w:rPr>
        <w:t xml:space="preserve">management </w:t>
      </w:r>
      <w:r w:rsidR="000F2310">
        <w:rPr>
          <w:rFonts w:ascii="Times New Roman" w:hAnsi="Times New Roman" w:cs="Times New Roman"/>
          <w:sz w:val="24"/>
          <w:szCs w:val="24"/>
          <w:lang w:val="en-US"/>
        </w:rPr>
        <w:t xml:space="preserve">principles and </w:t>
      </w:r>
      <w:r w:rsidR="0064449C">
        <w:rPr>
          <w:rFonts w:ascii="Times New Roman" w:hAnsi="Times New Roman" w:cs="Times New Roman"/>
          <w:sz w:val="24"/>
          <w:szCs w:val="24"/>
          <w:lang w:val="en-US"/>
        </w:rPr>
        <w:t>practices</w:t>
      </w:r>
      <w:r w:rsidR="00E02197">
        <w:rPr>
          <w:rFonts w:ascii="Times New Roman" w:hAnsi="Times New Roman" w:cs="Times New Roman"/>
          <w:sz w:val="24"/>
          <w:szCs w:val="24"/>
          <w:lang w:val="en-US"/>
        </w:rPr>
        <w:t xml:space="preserve"> (Will et al., 2019)</w:t>
      </w:r>
      <w:r w:rsidR="00BF3CA4" w:rsidRPr="008751F4">
        <w:rPr>
          <w:rFonts w:ascii="Times New Roman" w:hAnsi="Times New Roman" w:cs="Times New Roman"/>
          <w:sz w:val="24"/>
          <w:szCs w:val="24"/>
          <w:lang w:val="en-US"/>
        </w:rPr>
        <w:t>.</w:t>
      </w:r>
      <w:r w:rsidR="000F2310">
        <w:rPr>
          <w:rFonts w:ascii="Times New Roman" w:hAnsi="Times New Roman" w:cs="Times New Roman"/>
          <w:sz w:val="24"/>
          <w:szCs w:val="24"/>
          <w:lang w:val="en-US"/>
        </w:rPr>
        <w:t xml:space="preserve"> </w:t>
      </w:r>
      <w:r w:rsidR="00BF3CA4" w:rsidRPr="008751F4">
        <w:rPr>
          <w:rFonts w:ascii="Times New Roman" w:hAnsi="Times New Roman" w:cs="Times New Roman"/>
          <w:sz w:val="24"/>
          <w:szCs w:val="24"/>
          <w:lang w:val="en-US"/>
        </w:rPr>
        <w:t xml:space="preserve">Even for those management </w:t>
      </w:r>
      <w:r w:rsidR="00BF3CA4">
        <w:rPr>
          <w:rFonts w:ascii="Times New Roman" w:hAnsi="Times New Roman" w:cs="Times New Roman"/>
          <w:sz w:val="24"/>
          <w:szCs w:val="24"/>
          <w:lang w:val="en-US"/>
        </w:rPr>
        <w:t>systems (quality, environmental, health and safety etc.) that abide by certifi</w:t>
      </w:r>
      <w:r w:rsidR="00BF3CA4" w:rsidRPr="008751F4">
        <w:rPr>
          <w:rFonts w:ascii="Times New Roman" w:hAnsi="Times New Roman" w:cs="Times New Roman"/>
          <w:sz w:val="24"/>
          <w:szCs w:val="24"/>
          <w:lang w:val="en-US"/>
        </w:rPr>
        <w:t>able</w:t>
      </w:r>
      <w:r w:rsidR="00BF3CA4" w:rsidRPr="00DC78C0">
        <w:rPr>
          <w:rFonts w:ascii="Times New Roman" w:hAnsi="Times New Roman" w:cs="Times New Roman"/>
          <w:sz w:val="24"/>
          <w:szCs w:val="24"/>
          <w:lang w:val="en-US"/>
        </w:rPr>
        <w:t xml:space="preserve"> </w:t>
      </w:r>
      <w:r w:rsidR="00BF3CA4" w:rsidRPr="008751F4">
        <w:rPr>
          <w:rFonts w:ascii="Times New Roman" w:hAnsi="Times New Roman" w:cs="Times New Roman"/>
          <w:sz w:val="24"/>
          <w:szCs w:val="24"/>
          <w:lang w:val="en-US"/>
        </w:rPr>
        <w:t>standards</w:t>
      </w:r>
      <w:r w:rsidR="00BF3CA4">
        <w:rPr>
          <w:rFonts w:ascii="Times New Roman" w:hAnsi="Times New Roman" w:cs="Times New Roman"/>
          <w:sz w:val="24"/>
          <w:szCs w:val="24"/>
          <w:lang w:val="en-US"/>
        </w:rPr>
        <w:t>,</w:t>
      </w:r>
      <w:r w:rsidR="00BF3CA4" w:rsidRPr="008751F4">
        <w:rPr>
          <w:rFonts w:ascii="Times New Roman" w:hAnsi="Times New Roman" w:cs="Times New Roman"/>
          <w:sz w:val="24"/>
          <w:szCs w:val="24"/>
          <w:lang w:val="en-US"/>
        </w:rPr>
        <w:t xml:space="preserve"> certification is not obligatory. </w:t>
      </w:r>
      <w:r w:rsidR="00BF3CA4">
        <w:rPr>
          <w:rFonts w:ascii="Times New Roman" w:hAnsi="Times New Roman" w:cs="Times New Roman"/>
          <w:sz w:val="24"/>
          <w:szCs w:val="24"/>
          <w:lang w:val="en-US"/>
        </w:rPr>
        <w:t xml:space="preserve">Moreover, </w:t>
      </w:r>
      <w:r w:rsidR="00BF3CA4" w:rsidRPr="008751F4">
        <w:rPr>
          <w:rFonts w:ascii="Times New Roman" w:hAnsi="Times New Roman" w:cs="Times New Roman"/>
          <w:sz w:val="24"/>
          <w:szCs w:val="24"/>
          <w:lang w:val="en-US"/>
        </w:rPr>
        <w:t>in the case of certifiable management system standards the audits are usually ‘paragraph oriented’, meaning that they focus on the detailed, formal adoption of specific requirements of the standards leaving out</w:t>
      </w:r>
      <w:r w:rsidR="00BF3CA4">
        <w:rPr>
          <w:rFonts w:ascii="Times New Roman" w:hAnsi="Times New Roman" w:cs="Times New Roman"/>
          <w:sz w:val="24"/>
          <w:szCs w:val="24"/>
          <w:lang w:val="en-US"/>
        </w:rPr>
        <w:t xml:space="preserve"> the real meaning, </w:t>
      </w:r>
      <w:r w:rsidR="00BF3CA4" w:rsidRPr="008751F4">
        <w:rPr>
          <w:rFonts w:ascii="Times New Roman" w:hAnsi="Times New Roman" w:cs="Times New Roman"/>
          <w:sz w:val="24"/>
          <w:szCs w:val="24"/>
          <w:lang w:val="en-US"/>
        </w:rPr>
        <w:t xml:space="preserve">the </w:t>
      </w:r>
      <w:r w:rsidR="00BF3CA4">
        <w:rPr>
          <w:rFonts w:ascii="Times New Roman" w:hAnsi="Times New Roman" w:cs="Times New Roman"/>
          <w:sz w:val="24"/>
          <w:szCs w:val="24"/>
          <w:lang w:val="en-US"/>
        </w:rPr>
        <w:t xml:space="preserve">principles and the </w:t>
      </w:r>
      <w:r w:rsidR="00BF3CA4" w:rsidRPr="008751F4">
        <w:rPr>
          <w:rFonts w:ascii="Times New Roman" w:hAnsi="Times New Roman" w:cs="Times New Roman"/>
          <w:sz w:val="24"/>
          <w:szCs w:val="24"/>
          <w:lang w:val="en-US"/>
        </w:rPr>
        <w:t>objectives of the standards, as originally perceived by their creators.</w:t>
      </w:r>
      <w:r w:rsidR="00BF3CA4">
        <w:rPr>
          <w:rFonts w:ascii="Times New Roman" w:hAnsi="Times New Roman" w:cs="Times New Roman"/>
          <w:sz w:val="24"/>
          <w:szCs w:val="24"/>
          <w:lang w:val="en-US"/>
        </w:rPr>
        <w:t xml:space="preserve"> Thus, irrespective of whether certification is an option or not, </w:t>
      </w:r>
      <w:r w:rsidR="00BF3CA4" w:rsidRPr="008751F4">
        <w:rPr>
          <w:rFonts w:ascii="Times New Roman" w:hAnsi="Times New Roman" w:cs="Times New Roman"/>
          <w:sz w:val="24"/>
          <w:szCs w:val="24"/>
          <w:lang w:val="en-US"/>
        </w:rPr>
        <w:t>the debate between</w:t>
      </w:r>
      <w:r w:rsidR="00BF3CA4">
        <w:rPr>
          <w:rFonts w:ascii="Times New Roman" w:hAnsi="Times New Roman" w:cs="Times New Roman"/>
          <w:sz w:val="24"/>
          <w:szCs w:val="24"/>
          <w:lang w:val="en-US"/>
        </w:rPr>
        <w:t xml:space="preserve"> ceremonial </w:t>
      </w:r>
      <w:r w:rsidR="00BF3CA4" w:rsidRPr="008751F4">
        <w:rPr>
          <w:rFonts w:ascii="Times New Roman" w:hAnsi="Times New Roman" w:cs="Times New Roman"/>
          <w:sz w:val="24"/>
          <w:szCs w:val="24"/>
          <w:lang w:val="en-US"/>
        </w:rPr>
        <w:t xml:space="preserve">and </w:t>
      </w:r>
      <w:r w:rsidR="00BF3CA4">
        <w:rPr>
          <w:rFonts w:ascii="Times New Roman" w:hAnsi="Times New Roman" w:cs="Times New Roman"/>
          <w:sz w:val="24"/>
          <w:szCs w:val="24"/>
          <w:lang w:val="en-US"/>
        </w:rPr>
        <w:t>real</w:t>
      </w:r>
      <w:r w:rsidR="00BF3CA4" w:rsidRPr="008751F4">
        <w:rPr>
          <w:rFonts w:ascii="Times New Roman" w:hAnsi="Times New Roman" w:cs="Times New Roman"/>
          <w:sz w:val="24"/>
          <w:szCs w:val="24"/>
          <w:lang w:val="en-US"/>
        </w:rPr>
        <w:t xml:space="preserve"> implementation remains an issue, since there is </w:t>
      </w:r>
      <w:r w:rsidR="00BF3CA4">
        <w:rPr>
          <w:rFonts w:ascii="Times New Roman" w:hAnsi="Times New Roman" w:cs="Times New Roman"/>
          <w:sz w:val="24"/>
          <w:szCs w:val="24"/>
          <w:lang w:val="en-US"/>
        </w:rPr>
        <w:t xml:space="preserve">always </w:t>
      </w:r>
      <w:r w:rsidR="00BF3CA4" w:rsidRPr="008751F4">
        <w:rPr>
          <w:rFonts w:ascii="Times New Roman" w:hAnsi="Times New Roman" w:cs="Times New Roman"/>
          <w:sz w:val="24"/>
          <w:szCs w:val="24"/>
          <w:lang w:val="en-US"/>
        </w:rPr>
        <w:t xml:space="preserve">the underlying risk of </w:t>
      </w:r>
      <w:r w:rsidR="00BF3CA4">
        <w:rPr>
          <w:rFonts w:ascii="Times New Roman" w:hAnsi="Times New Roman" w:cs="Times New Roman"/>
          <w:sz w:val="24"/>
          <w:szCs w:val="24"/>
          <w:lang w:val="en-US"/>
        </w:rPr>
        <w:t>‘</w:t>
      </w:r>
      <w:r w:rsidR="00BF3CA4" w:rsidRPr="008751F4">
        <w:rPr>
          <w:rFonts w:ascii="Times New Roman" w:hAnsi="Times New Roman" w:cs="Times New Roman"/>
          <w:sz w:val="24"/>
          <w:szCs w:val="24"/>
          <w:lang w:val="en-US"/>
        </w:rPr>
        <w:t>bragging</w:t>
      </w:r>
      <w:r w:rsidR="00BF3CA4">
        <w:rPr>
          <w:rFonts w:ascii="Times New Roman" w:hAnsi="Times New Roman" w:cs="Times New Roman"/>
          <w:sz w:val="24"/>
          <w:szCs w:val="24"/>
          <w:lang w:val="en-US"/>
        </w:rPr>
        <w:t>’</w:t>
      </w:r>
      <w:r w:rsidR="00BF3CA4" w:rsidRPr="008751F4">
        <w:rPr>
          <w:rFonts w:ascii="Times New Roman" w:hAnsi="Times New Roman" w:cs="Times New Roman"/>
          <w:sz w:val="24"/>
          <w:szCs w:val="24"/>
          <w:lang w:val="en-US"/>
        </w:rPr>
        <w:t xml:space="preserve"> </w:t>
      </w:r>
      <w:r w:rsidR="00BF3CA4">
        <w:rPr>
          <w:rFonts w:ascii="Times New Roman" w:hAnsi="Times New Roman" w:cs="Times New Roman"/>
          <w:sz w:val="24"/>
          <w:szCs w:val="24"/>
          <w:lang w:val="en-US"/>
        </w:rPr>
        <w:t>or rather manifesting</w:t>
      </w:r>
      <w:r>
        <w:rPr>
          <w:rFonts w:ascii="Times New Roman" w:hAnsi="Times New Roman" w:cs="Times New Roman"/>
          <w:sz w:val="24"/>
          <w:szCs w:val="24"/>
          <w:lang w:val="en-US"/>
        </w:rPr>
        <w:t xml:space="preserve"> </w:t>
      </w:r>
      <w:r w:rsidR="00BF3CA4" w:rsidRPr="008751F4">
        <w:rPr>
          <w:rFonts w:ascii="Times New Roman" w:hAnsi="Times New Roman" w:cs="Times New Roman"/>
          <w:sz w:val="24"/>
          <w:szCs w:val="24"/>
          <w:lang w:val="en-US"/>
        </w:rPr>
        <w:t xml:space="preserve">for </w:t>
      </w:r>
      <w:r w:rsidR="00BF3CA4">
        <w:rPr>
          <w:rFonts w:ascii="Times New Roman" w:hAnsi="Times New Roman" w:cs="Times New Roman"/>
          <w:sz w:val="24"/>
          <w:szCs w:val="24"/>
          <w:lang w:val="en-US"/>
        </w:rPr>
        <w:t xml:space="preserve">a quality management system </w:t>
      </w:r>
      <w:r w:rsidR="00BF3CA4" w:rsidRPr="008751F4">
        <w:rPr>
          <w:rFonts w:ascii="Times New Roman" w:hAnsi="Times New Roman" w:cs="Times New Roman"/>
          <w:sz w:val="24"/>
          <w:szCs w:val="24"/>
          <w:lang w:val="en-US"/>
        </w:rPr>
        <w:t xml:space="preserve">or a CSR </w:t>
      </w:r>
      <w:r w:rsidR="00E02197" w:rsidRPr="008751F4">
        <w:rPr>
          <w:rFonts w:ascii="Times New Roman" w:hAnsi="Times New Roman" w:cs="Times New Roman"/>
          <w:sz w:val="24"/>
          <w:szCs w:val="24"/>
          <w:lang w:val="en-US"/>
        </w:rPr>
        <w:t xml:space="preserve">management system </w:t>
      </w:r>
      <w:r w:rsidR="00E02197">
        <w:rPr>
          <w:rFonts w:ascii="Times New Roman" w:hAnsi="Times New Roman" w:cs="Times New Roman"/>
          <w:sz w:val="24"/>
          <w:szCs w:val="24"/>
          <w:lang w:val="en-US"/>
        </w:rPr>
        <w:t xml:space="preserve">or </w:t>
      </w:r>
      <w:r w:rsidR="00E02197" w:rsidRPr="008751F4">
        <w:rPr>
          <w:rFonts w:ascii="Times New Roman" w:hAnsi="Times New Roman" w:cs="Times New Roman"/>
          <w:sz w:val="24"/>
          <w:szCs w:val="24"/>
          <w:lang w:val="en-US"/>
        </w:rPr>
        <w:t xml:space="preserve">an IMS </w:t>
      </w:r>
      <w:r w:rsidR="00BF3CA4" w:rsidRPr="008751F4">
        <w:rPr>
          <w:rFonts w:ascii="Times New Roman" w:hAnsi="Times New Roman" w:cs="Times New Roman"/>
          <w:sz w:val="24"/>
          <w:szCs w:val="24"/>
          <w:lang w:val="en-US"/>
        </w:rPr>
        <w:t>without actually benefiting from one.</w:t>
      </w:r>
      <w:r w:rsidR="001356CE">
        <w:rPr>
          <w:rFonts w:ascii="Times New Roman" w:hAnsi="Times New Roman" w:cs="Times New Roman"/>
          <w:sz w:val="24"/>
          <w:szCs w:val="24"/>
          <w:lang w:val="en-US"/>
        </w:rPr>
        <w:t xml:space="preserve"> </w:t>
      </w:r>
      <w:r w:rsidR="008A4C80">
        <w:rPr>
          <w:rFonts w:ascii="Times New Roman" w:hAnsi="Times New Roman" w:cs="Times New Roman"/>
          <w:sz w:val="24"/>
          <w:szCs w:val="24"/>
          <w:lang w:val="en-US"/>
        </w:rPr>
        <w:t>Putting an end</w:t>
      </w:r>
      <w:r w:rsidR="001356CE">
        <w:rPr>
          <w:rFonts w:ascii="Times New Roman" w:hAnsi="Times New Roman" w:cs="Times New Roman"/>
          <w:sz w:val="24"/>
          <w:szCs w:val="24"/>
          <w:lang w:val="en-US"/>
        </w:rPr>
        <w:t xml:space="preserve"> to this </w:t>
      </w:r>
      <w:r w:rsidR="008A4C80">
        <w:rPr>
          <w:rFonts w:ascii="Times New Roman" w:hAnsi="Times New Roman" w:cs="Times New Roman"/>
          <w:sz w:val="24"/>
          <w:szCs w:val="24"/>
          <w:lang w:val="en-US"/>
        </w:rPr>
        <w:t>interplay between the façade and the backstage</w:t>
      </w:r>
      <w:r w:rsidR="00CF44F3">
        <w:rPr>
          <w:rFonts w:ascii="Times New Roman" w:hAnsi="Times New Roman" w:cs="Times New Roman"/>
          <w:sz w:val="24"/>
          <w:szCs w:val="24"/>
          <w:lang w:val="en-US"/>
        </w:rPr>
        <w:t xml:space="preserve"> </w:t>
      </w:r>
      <w:r w:rsidR="001356CE">
        <w:rPr>
          <w:rFonts w:ascii="Times New Roman" w:hAnsi="Times New Roman" w:cs="Times New Roman"/>
          <w:sz w:val="24"/>
          <w:szCs w:val="24"/>
          <w:lang w:val="en-US"/>
        </w:rPr>
        <w:t>i</w:t>
      </w:r>
      <w:r w:rsidR="00BF3CA4">
        <w:rPr>
          <w:rFonts w:ascii="Times New Roman" w:hAnsi="Times New Roman" w:cs="Times New Roman"/>
          <w:sz w:val="24"/>
          <w:szCs w:val="24"/>
          <w:lang w:val="en-US"/>
        </w:rPr>
        <w:t xml:space="preserve">nternalization </w:t>
      </w:r>
      <w:r w:rsidR="001356CE">
        <w:rPr>
          <w:rFonts w:ascii="Times New Roman" w:hAnsi="Times New Roman" w:cs="Times New Roman"/>
          <w:sz w:val="24"/>
          <w:szCs w:val="24"/>
          <w:lang w:val="en-US"/>
        </w:rPr>
        <w:t xml:space="preserve">focuses on the essentials bringing together the necessary means </w:t>
      </w:r>
      <w:r w:rsidR="008A4C80">
        <w:rPr>
          <w:rFonts w:ascii="Times New Roman" w:hAnsi="Times New Roman" w:cs="Times New Roman"/>
          <w:sz w:val="24"/>
          <w:szCs w:val="24"/>
          <w:lang w:val="en-US"/>
        </w:rPr>
        <w:t xml:space="preserve">for the exploitation of </w:t>
      </w:r>
      <w:r w:rsidR="001356CE">
        <w:rPr>
          <w:rFonts w:ascii="Times New Roman" w:hAnsi="Times New Roman" w:cs="Times New Roman"/>
          <w:sz w:val="24"/>
          <w:szCs w:val="24"/>
          <w:lang w:val="en-US"/>
        </w:rPr>
        <w:t>management systems to the benefit of the firm and its stakeholders.</w:t>
      </w:r>
    </w:p>
    <w:p w:rsidR="006D7EA0" w:rsidRPr="008751F4" w:rsidRDefault="006D7EA0" w:rsidP="00964544">
      <w:pPr>
        <w:tabs>
          <w:tab w:val="left" w:pos="284"/>
        </w:tabs>
        <w:rPr>
          <w:rFonts w:ascii="Times New Roman" w:hAnsi="Times New Roman" w:cs="Times New Roman"/>
          <w:sz w:val="24"/>
          <w:szCs w:val="24"/>
          <w:lang w:val="en-US"/>
        </w:rPr>
      </w:pPr>
    </w:p>
    <w:p w:rsidR="00964544" w:rsidRPr="008751F4" w:rsidRDefault="00964544" w:rsidP="00964544">
      <w:pPr>
        <w:rPr>
          <w:rFonts w:ascii="Times New Roman" w:eastAsia="Times New Roman" w:hAnsi="Times New Roman" w:cs="Times New Roman"/>
          <w:sz w:val="24"/>
          <w:szCs w:val="24"/>
          <w:lang w:val="en-US"/>
        </w:rPr>
      </w:pPr>
      <w:r w:rsidRPr="008751F4">
        <w:rPr>
          <w:rFonts w:ascii="Times New Roman" w:eastAsia="Times New Roman" w:hAnsi="Times New Roman" w:cs="Times New Roman"/>
          <w:b/>
          <w:sz w:val="24"/>
          <w:szCs w:val="24"/>
          <w:lang w:val="en-US" w:eastAsia="it-IT"/>
        </w:rPr>
        <w:lastRenderedPageBreak/>
        <w:t>References</w:t>
      </w:r>
    </w:p>
    <w:p w:rsidR="00EB5A3C" w:rsidRPr="008751F4" w:rsidRDefault="00383F8E" w:rsidP="005C7A9A">
      <w:pPr>
        <w:tabs>
          <w:tab w:val="left" w:pos="360"/>
        </w:tabs>
        <w:ind w:left="720" w:hanging="27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Abad</w:t>
      </w:r>
      <w:r w:rsidR="00EB5A3C" w:rsidRPr="008751F4">
        <w:rPr>
          <w:rFonts w:ascii="Times New Roman" w:hAnsi="Times New Roman" w:cs="Times New Roman"/>
          <w:sz w:val="24"/>
          <w:szCs w:val="24"/>
          <w:lang w:val="en-GB"/>
        </w:rPr>
        <w:t xml:space="preserve"> J., Dalma</w:t>
      </w:r>
      <w:r>
        <w:rPr>
          <w:rFonts w:ascii="Times New Roman" w:hAnsi="Times New Roman" w:cs="Times New Roman"/>
          <w:sz w:val="24"/>
          <w:szCs w:val="24"/>
          <w:lang w:val="en-GB"/>
        </w:rPr>
        <w:t>u I., Vilajosana</w:t>
      </w:r>
      <w:r w:rsidR="00731452">
        <w:rPr>
          <w:rFonts w:ascii="Times New Roman" w:hAnsi="Times New Roman" w:cs="Times New Roman"/>
          <w:sz w:val="24"/>
          <w:szCs w:val="24"/>
          <w:lang w:val="en-GB"/>
        </w:rPr>
        <w:t xml:space="preserve"> J. (2014).</w:t>
      </w:r>
      <w:proofErr w:type="gramEnd"/>
      <w:r w:rsidR="003074F1">
        <w:rPr>
          <w:rFonts w:ascii="Times New Roman" w:hAnsi="Times New Roman" w:cs="Times New Roman"/>
          <w:sz w:val="24"/>
          <w:szCs w:val="24"/>
          <w:lang w:val="en-GB"/>
        </w:rPr>
        <w:t xml:space="preserve"> </w:t>
      </w:r>
      <w:r w:rsidR="00EB5A3C" w:rsidRPr="008751F4">
        <w:rPr>
          <w:rFonts w:ascii="Times New Roman" w:hAnsi="Times New Roman" w:cs="Times New Roman"/>
          <w:sz w:val="24"/>
          <w:szCs w:val="24"/>
          <w:lang w:val="en-GB"/>
        </w:rPr>
        <w:t xml:space="preserve">“Taxonomic proposal for integration levels of management systems based on empirical evidence </w:t>
      </w:r>
      <w:r w:rsidR="003B1AF7">
        <w:rPr>
          <w:rFonts w:ascii="Times New Roman" w:hAnsi="Times New Roman" w:cs="Times New Roman"/>
          <w:sz w:val="24"/>
          <w:szCs w:val="24"/>
          <w:lang w:val="en-GB"/>
        </w:rPr>
        <w:t>and derived corporate benefits”.</w:t>
      </w:r>
      <w:r w:rsidR="00EB5A3C" w:rsidRPr="008751F4">
        <w:rPr>
          <w:rFonts w:ascii="Times New Roman" w:hAnsi="Times New Roman" w:cs="Times New Roman"/>
          <w:sz w:val="24"/>
          <w:szCs w:val="24"/>
          <w:lang w:val="en-GB"/>
        </w:rPr>
        <w:t xml:space="preserve"> </w:t>
      </w:r>
      <w:r w:rsidR="00EB5A3C" w:rsidRPr="008751F4">
        <w:rPr>
          <w:rFonts w:ascii="Times New Roman" w:hAnsi="Times New Roman" w:cs="Times New Roman"/>
          <w:i/>
          <w:iCs/>
          <w:sz w:val="24"/>
          <w:szCs w:val="24"/>
          <w:lang w:val="en-GB"/>
        </w:rPr>
        <w:t>Journal of Cleaner Production</w:t>
      </w:r>
      <w:r w:rsidR="007B627F" w:rsidRPr="008751F4">
        <w:rPr>
          <w:rFonts w:ascii="Times New Roman" w:hAnsi="Times New Roman" w:cs="Times New Roman"/>
          <w:sz w:val="24"/>
          <w:szCs w:val="24"/>
          <w:lang w:val="en-GB"/>
        </w:rPr>
        <w:t>,</w:t>
      </w:r>
      <w:r w:rsidR="00EB5A3C" w:rsidRPr="008751F4">
        <w:rPr>
          <w:rFonts w:ascii="Times New Roman" w:hAnsi="Times New Roman" w:cs="Times New Roman"/>
          <w:sz w:val="24"/>
          <w:szCs w:val="24"/>
          <w:lang w:val="en-GB"/>
        </w:rPr>
        <w:t xml:space="preserve"> 78</w:t>
      </w:r>
      <w:r w:rsidR="007B627F" w:rsidRPr="008751F4">
        <w:rPr>
          <w:rFonts w:ascii="Times New Roman" w:hAnsi="Times New Roman" w:cs="Times New Roman"/>
          <w:sz w:val="24"/>
          <w:szCs w:val="24"/>
          <w:lang w:val="en-GB"/>
        </w:rPr>
        <w:t>,</w:t>
      </w:r>
      <w:r w:rsidR="00EB5A3C" w:rsidRPr="008751F4">
        <w:rPr>
          <w:rFonts w:ascii="Times New Roman" w:hAnsi="Times New Roman" w:cs="Times New Roman"/>
          <w:sz w:val="24"/>
          <w:szCs w:val="24"/>
          <w:lang w:val="en-GB"/>
        </w:rPr>
        <w:t xml:space="preserve"> 164-173.</w:t>
      </w:r>
    </w:p>
    <w:p w:rsidR="00EB5A3C" w:rsidRPr="008751F4" w:rsidRDefault="007B627F" w:rsidP="005C7A9A">
      <w:pPr>
        <w:tabs>
          <w:tab w:val="left" w:pos="360"/>
        </w:tabs>
        <w:ind w:left="720" w:hanging="270"/>
        <w:jc w:val="both"/>
        <w:rPr>
          <w:rFonts w:ascii="Times New Roman" w:hAnsi="Times New Roman" w:cs="Times New Roman"/>
          <w:sz w:val="24"/>
          <w:szCs w:val="24"/>
          <w:lang w:val="en-GB"/>
        </w:rPr>
      </w:pPr>
      <w:proofErr w:type="gramStart"/>
      <w:r w:rsidRPr="008751F4">
        <w:rPr>
          <w:rFonts w:ascii="Times New Roman" w:hAnsi="Times New Roman" w:cs="Times New Roman"/>
          <w:sz w:val="24"/>
          <w:szCs w:val="24"/>
          <w:lang w:val="en-GB"/>
        </w:rPr>
        <w:t>v</w:t>
      </w:r>
      <w:r w:rsidR="00383F8E">
        <w:rPr>
          <w:rFonts w:ascii="Times New Roman" w:hAnsi="Times New Roman" w:cs="Times New Roman"/>
          <w:sz w:val="24"/>
          <w:szCs w:val="24"/>
          <w:lang w:val="en-GB"/>
        </w:rPr>
        <w:t>on</w:t>
      </w:r>
      <w:proofErr w:type="gramEnd"/>
      <w:r w:rsidR="00383F8E">
        <w:rPr>
          <w:rFonts w:ascii="Times New Roman" w:hAnsi="Times New Roman" w:cs="Times New Roman"/>
          <w:sz w:val="24"/>
          <w:szCs w:val="24"/>
          <w:lang w:val="en-GB"/>
        </w:rPr>
        <w:t xml:space="preserve"> Ahsen</w:t>
      </w:r>
      <w:r w:rsidR="003B1AF7">
        <w:rPr>
          <w:rFonts w:ascii="Times New Roman" w:hAnsi="Times New Roman" w:cs="Times New Roman"/>
          <w:sz w:val="24"/>
          <w:szCs w:val="24"/>
          <w:lang w:val="en-GB"/>
        </w:rPr>
        <w:t xml:space="preserve"> A. (2014).</w:t>
      </w:r>
      <w:r w:rsidR="00EB5A3C" w:rsidRPr="008751F4">
        <w:rPr>
          <w:rFonts w:ascii="Times New Roman" w:hAnsi="Times New Roman" w:cs="Times New Roman"/>
          <w:sz w:val="24"/>
          <w:szCs w:val="24"/>
          <w:lang w:val="en-GB"/>
        </w:rPr>
        <w:t xml:space="preserve"> </w:t>
      </w:r>
      <w:proofErr w:type="gramStart"/>
      <w:r w:rsidR="00EB5A3C" w:rsidRPr="008751F4">
        <w:rPr>
          <w:rFonts w:ascii="Times New Roman" w:hAnsi="Times New Roman" w:cs="Times New Roman"/>
          <w:sz w:val="24"/>
          <w:szCs w:val="24"/>
          <w:lang w:val="en-GB"/>
        </w:rPr>
        <w:t>“The Integration of quality, environmental and health and safety management by car Manufacturers – a long-term empirical study”</w:t>
      </w:r>
      <w:r w:rsidR="003B1AF7">
        <w:rPr>
          <w:rFonts w:ascii="Times New Roman" w:hAnsi="Times New Roman" w:cs="Times New Roman"/>
          <w:sz w:val="24"/>
          <w:szCs w:val="24"/>
          <w:lang w:val="en-GB"/>
        </w:rPr>
        <w:t>.</w:t>
      </w:r>
      <w:proofErr w:type="gramEnd"/>
      <w:r w:rsidR="00EB5A3C" w:rsidRPr="008751F4">
        <w:rPr>
          <w:rFonts w:ascii="Times New Roman" w:hAnsi="Times New Roman" w:cs="Times New Roman"/>
          <w:i/>
          <w:iCs/>
          <w:sz w:val="24"/>
          <w:szCs w:val="24"/>
          <w:lang w:val="en-GB"/>
        </w:rPr>
        <w:t xml:space="preserve"> Business Strategy and the Environment</w:t>
      </w:r>
      <w:r w:rsidR="00EB5A3C" w:rsidRPr="008751F4">
        <w:rPr>
          <w:rFonts w:ascii="Times New Roman" w:hAnsi="Times New Roman" w:cs="Times New Roman"/>
          <w:sz w:val="24"/>
          <w:szCs w:val="24"/>
          <w:lang w:val="en-GB"/>
        </w:rPr>
        <w:t>,</w:t>
      </w:r>
      <w:r w:rsidRPr="008751F4">
        <w:rPr>
          <w:rFonts w:ascii="Times New Roman" w:hAnsi="Times New Roman" w:cs="Times New Roman"/>
          <w:color w:val="000000"/>
          <w:sz w:val="24"/>
          <w:szCs w:val="24"/>
          <w:shd w:val="clear" w:color="auto" w:fill="FFFFFF"/>
          <w:lang w:val="en-GB"/>
        </w:rPr>
        <w:t xml:space="preserve"> 23(</w:t>
      </w:r>
      <w:r w:rsidR="00EB5A3C" w:rsidRPr="008751F4">
        <w:rPr>
          <w:rFonts w:ascii="Times New Roman" w:hAnsi="Times New Roman" w:cs="Times New Roman"/>
          <w:color w:val="000000"/>
          <w:sz w:val="24"/>
          <w:szCs w:val="24"/>
          <w:shd w:val="clear" w:color="auto" w:fill="FFFFFF"/>
          <w:lang w:val="en-GB"/>
        </w:rPr>
        <w:t>6</w:t>
      </w:r>
      <w:r w:rsidRPr="008751F4">
        <w:rPr>
          <w:rFonts w:ascii="Times New Roman" w:hAnsi="Times New Roman" w:cs="Times New Roman"/>
          <w:color w:val="000000"/>
          <w:sz w:val="24"/>
          <w:szCs w:val="24"/>
          <w:shd w:val="clear" w:color="auto" w:fill="FFFFFF"/>
          <w:lang w:val="en-GB"/>
        </w:rPr>
        <w:t>)</w:t>
      </w:r>
      <w:r w:rsidR="00EB5A3C" w:rsidRPr="008751F4">
        <w:rPr>
          <w:rFonts w:ascii="Times New Roman" w:hAnsi="Times New Roman" w:cs="Times New Roman"/>
          <w:color w:val="000000"/>
          <w:sz w:val="24"/>
          <w:szCs w:val="24"/>
          <w:shd w:val="clear" w:color="auto" w:fill="FFFFFF"/>
          <w:lang w:val="en-GB"/>
        </w:rPr>
        <w:t>,</w:t>
      </w:r>
      <w:r w:rsidRPr="008751F4">
        <w:rPr>
          <w:rFonts w:ascii="Times New Roman" w:hAnsi="Times New Roman" w:cs="Times New Roman"/>
          <w:color w:val="000000"/>
          <w:sz w:val="24"/>
          <w:szCs w:val="24"/>
          <w:shd w:val="clear" w:color="auto" w:fill="FFFFFF"/>
          <w:lang w:val="en-GB"/>
        </w:rPr>
        <w:t xml:space="preserve"> </w:t>
      </w:r>
      <w:r w:rsidR="00EB5A3C" w:rsidRPr="008751F4">
        <w:rPr>
          <w:rFonts w:ascii="Times New Roman" w:hAnsi="Times New Roman" w:cs="Times New Roman"/>
          <w:color w:val="000000"/>
          <w:sz w:val="24"/>
          <w:szCs w:val="24"/>
          <w:shd w:val="clear" w:color="auto" w:fill="FFFFFF"/>
          <w:lang w:val="en-GB"/>
        </w:rPr>
        <w:t>395-416.</w:t>
      </w:r>
    </w:p>
    <w:p w:rsidR="00630A4E" w:rsidRPr="00630A4E" w:rsidRDefault="00383F8E" w:rsidP="005C7A9A">
      <w:pPr>
        <w:tabs>
          <w:tab w:val="left" w:pos="1350"/>
        </w:tabs>
        <w:ind w:left="720" w:hanging="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Armstrong</w:t>
      </w:r>
      <w:r w:rsidR="00630A4E" w:rsidRPr="00630A4E">
        <w:rPr>
          <w:rFonts w:ascii="Times New Roman" w:eastAsia="Times New Roman" w:hAnsi="Times New Roman" w:cs="Times New Roman"/>
          <w:sz w:val="24"/>
          <w:szCs w:val="24"/>
          <w:lang w:val="en-US"/>
        </w:rPr>
        <w:t xml:space="preserve"> J.S.</w:t>
      </w:r>
      <w:r>
        <w:rPr>
          <w:rFonts w:ascii="Times New Roman" w:eastAsia="Times New Roman" w:hAnsi="Times New Roman" w:cs="Times New Roman"/>
          <w:sz w:val="24"/>
          <w:szCs w:val="24"/>
          <w:lang w:val="en-US"/>
        </w:rPr>
        <w:t>,</w:t>
      </w:r>
      <w:r w:rsidR="00630A4E" w:rsidRPr="00630A4E">
        <w:rPr>
          <w:rFonts w:ascii="Times New Roman" w:eastAsia="Times New Roman" w:hAnsi="Times New Roman" w:cs="Times New Roman"/>
          <w:sz w:val="24"/>
          <w:szCs w:val="24"/>
          <w:lang w:val="en-US"/>
        </w:rPr>
        <w:t xml:space="preserve"> Overton T.S. </w:t>
      </w:r>
      <w:r w:rsidR="003B1AF7">
        <w:rPr>
          <w:rFonts w:ascii="Times New Roman" w:eastAsia="Times New Roman" w:hAnsi="Times New Roman" w:cs="Times New Roman"/>
          <w:sz w:val="24"/>
          <w:szCs w:val="24"/>
          <w:lang w:val="en-US"/>
        </w:rPr>
        <w:t>(1977).</w:t>
      </w:r>
      <w:r w:rsidR="00630A4E" w:rsidRPr="00630A4E">
        <w:rPr>
          <w:rFonts w:ascii="Times New Roman" w:eastAsia="Times New Roman" w:hAnsi="Times New Roman" w:cs="Times New Roman"/>
          <w:sz w:val="24"/>
          <w:szCs w:val="24"/>
          <w:lang w:val="en-US"/>
        </w:rPr>
        <w:t xml:space="preserve"> “</w:t>
      </w:r>
      <w:r w:rsidR="00630A4E" w:rsidRPr="00630A4E">
        <w:rPr>
          <w:rFonts w:ascii="Times New Roman" w:eastAsia="Times New Roman" w:hAnsi="Times New Roman" w:cs="Times New Roman"/>
          <w:bCs/>
          <w:sz w:val="24"/>
          <w:szCs w:val="24"/>
          <w:lang w:val="en-US"/>
        </w:rPr>
        <w:t>Estimating no</w:t>
      </w:r>
      <w:r w:rsidR="003B1AF7">
        <w:rPr>
          <w:rFonts w:ascii="Times New Roman" w:eastAsia="Times New Roman" w:hAnsi="Times New Roman" w:cs="Times New Roman"/>
          <w:bCs/>
          <w:sz w:val="24"/>
          <w:szCs w:val="24"/>
          <w:lang w:val="en-US"/>
        </w:rPr>
        <w:t>nresponse bias in mail surveys”.</w:t>
      </w:r>
      <w:r w:rsidR="00630A4E" w:rsidRPr="00630A4E">
        <w:rPr>
          <w:rFonts w:ascii="Times New Roman" w:eastAsia="Times New Roman" w:hAnsi="Times New Roman" w:cs="Times New Roman"/>
          <w:bCs/>
          <w:sz w:val="24"/>
          <w:szCs w:val="24"/>
          <w:lang w:val="en-US"/>
        </w:rPr>
        <w:t xml:space="preserve"> </w:t>
      </w:r>
      <w:r w:rsidR="00630A4E" w:rsidRPr="00630A4E">
        <w:rPr>
          <w:rFonts w:ascii="Times New Roman" w:eastAsia="Times New Roman" w:hAnsi="Times New Roman" w:cs="Times New Roman"/>
          <w:i/>
          <w:sz w:val="24"/>
          <w:szCs w:val="24"/>
          <w:lang w:val="en-US"/>
        </w:rPr>
        <w:t>Journal of Marketing Research</w:t>
      </w:r>
      <w:r w:rsidR="00630A4E" w:rsidRPr="00630A4E">
        <w:rPr>
          <w:rFonts w:ascii="Times New Roman" w:eastAsia="Times New Roman" w:hAnsi="Times New Roman" w:cs="Times New Roman"/>
          <w:sz w:val="24"/>
          <w:szCs w:val="24"/>
          <w:lang w:val="en-US"/>
        </w:rPr>
        <w:t>, 14, 396-402</w:t>
      </w:r>
      <w:r w:rsidR="00FF1AE3">
        <w:rPr>
          <w:rFonts w:ascii="Times New Roman" w:eastAsia="Times New Roman" w:hAnsi="Times New Roman" w:cs="Times New Roman"/>
          <w:sz w:val="24"/>
          <w:szCs w:val="24"/>
          <w:lang w:val="en-US"/>
        </w:rPr>
        <w:t>.</w:t>
      </w:r>
    </w:p>
    <w:p w:rsidR="00EB5A3C" w:rsidRDefault="00383F8E" w:rsidP="005C7A9A">
      <w:pPr>
        <w:tabs>
          <w:tab w:val="left" w:pos="360"/>
          <w:tab w:val="left" w:pos="1350"/>
        </w:tabs>
        <w:ind w:left="720" w:hanging="274"/>
        <w:jc w:val="both"/>
        <w:rPr>
          <w:rFonts w:ascii="Times New Roman" w:hAnsi="Times New Roman" w:cs="Times New Roman"/>
          <w:sz w:val="24"/>
          <w:szCs w:val="24"/>
          <w:lang w:val="en-GB"/>
        </w:rPr>
      </w:pPr>
      <w:r>
        <w:rPr>
          <w:rFonts w:ascii="Times New Roman" w:hAnsi="Times New Roman" w:cs="Times New Roman"/>
          <w:sz w:val="24"/>
          <w:szCs w:val="24"/>
          <w:lang w:val="en-GB"/>
        </w:rPr>
        <w:t>Asif M., Fisscher</w:t>
      </w:r>
      <w:r w:rsidR="00EB5A3C" w:rsidRPr="00630A4E">
        <w:rPr>
          <w:rFonts w:ascii="Times New Roman" w:hAnsi="Times New Roman" w:cs="Times New Roman"/>
          <w:sz w:val="24"/>
          <w:szCs w:val="24"/>
          <w:lang w:val="en-GB"/>
        </w:rPr>
        <w:t xml:space="preserve"> O.A.M., de Bru</w:t>
      </w:r>
      <w:r>
        <w:rPr>
          <w:rFonts w:ascii="Times New Roman" w:hAnsi="Times New Roman" w:cs="Times New Roman"/>
          <w:sz w:val="24"/>
          <w:szCs w:val="24"/>
          <w:lang w:val="en-GB"/>
        </w:rPr>
        <w:t>ijn E.J., Pagell</w:t>
      </w:r>
      <w:r w:rsidR="003B1AF7">
        <w:rPr>
          <w:rFonts w:ascii="Times New Roman" w:hAnsi="Times New Roman" w:cs="Times New Roman"/>
          <w:sz w:val="24"/>
          <w:szCs w:val="24"/>
          <w:lang w:val="en-GB"/>
        </w:rPr>
        <w:t xml:space="preserve"> M. (2010).</w:t>
      </w:r>
      <w:r w:rsidR="00EB5A3C" w:rsidRPr="00630A4E">
        <w:rPr>
          <w:rFonts w:ascii="Times New Roman" w:hAnsi="Times New Roman" w:cs="Times New Roman"/>
          <w:sz w:val="24"/>
          <w:szCs w:val="24"/>
          <w:lang w:val="en-GB"/>
        </w:rPr>
        <w:t xml:space="preserve"> “An examination of strategies employed</w:t>
      </w:r>
      <w:r w:rsidR="00EB5A3C" w:rsidRPr="008751F4">
        <w:rPr>
          <w:rFonts w:ascii="Times New Roman" w:hAnsi="Times New Roman" w:cs="Times New Roman"/>
          <w:sz w:val="24"/>
          <w:szCs w:val="24"/>
          <w:lang w:val="en-GB"/>
        </w:rPr>
        <w:t xml:space="preserve"> for the int</w:t>
      </w:r>
      <w:r w:rsidR="003B1AF7">
        <w:rPr>
          <w:rFonts w:ascii="Times New Roman" w:hAnsi="Times New Roman" w:cs="Times New Roman"/>
          <w:sz w:val="24"/>
          <w:szCs w:val="24"/>
          <w:lang w:val="en-GB"/>
        </w:rPr>
        <w:t>egration of management systems”.</w:t>
      </w:r>
      <w:r w:rsidR="00EB5A3C" w:rsidRPr="008751F4">
        <w:rPr>
          <w:rFonts w:ascii="Times New Roman" w:hAnsi="Times New Roman" w:cs="Times New Roman"/>
          <w:sz w:val="24"/>
          <w:szCs w:val="24"/>
          <w:lang w:val="en-GB"/>
        </w:rPr>
        <w:t xml:space="preserve"> </w:t>
      </w:r>
      <w:r w:rsidR="00EB5A3C" w:rsidRPr="008751F4">
        <w:rPr>
          <w:rFonts w:ascii="Times New Roman" w:hAnsi="Times New Roman" w:cs="Times New Roman"/>
          <w:i/>
          <w:iCs/>
          <w:sz w:val="24"/>
          <w:szCs w:val="24"/>
          <w:lang w:val="en-GB"/>
        </w:rPr>
        <w:t>The TQM Journal</w:t>
      </w:r>
      <w:r w:rsidR="00D542B9">
        <w:rPr>
          <w:rFonts w:ascii="Times New Roman" w:hAnsi="Times New Roman" w:cs="Times New Roman"/>
          <w:sz w:val="24"/>
          <w:szCs w:val="24"/>
          <w:lang w:val="en-GB"/>
        </w:rPr>
        <w:t>, 22(</w:t>
      </w:r>
      <w:r w:rsidR="00EB5A3C" w:rsidRPr="008751F4">
        <w:rPr>
          <w:rFonts w:ascii="Times New Roman" w:hAnsi="Times New Roman" w:cs="Times New Roman"/>
          <w:sz w:val="24"/>
          <w:szCs w:val="24"/>
          <w:lang w:val="en-GB"/>
        </w:rPr>
        <w:t>6</w:t>
      </w:r>
      <w:r w:rsidR="00D542B9">
        <w:rPr>
          <w:rFonts w:ascii="Times New Roman" w:hAnsi="Times New Roman" w:cs="Times New Roman"/>
          <w:sz w:val="24"/>
          <w:szCs w:val="24"/>
          <w:lang w:val="en-GB"/>
        </w:rPr>
        <w:t xml:space="preserve">), </w:t>
      </w:r>
      <w:r w:rsidR="00EB5A3C" w:rsidRPr="008751F4">
        <w:rPr>
          <w:rFonts w:ascii="Times New Roman" w:hAnsi="Times New Roman" w:cs="Times New Roman"/>
          <w:sz w:val="24"/>
          <w:szCs w:val="24"/>
          <w:lang w:val="en-GB"/>
        </w:rPr>
        <w:t>648-669.</w:t>
      </w:r>
    </w:p>
    <w:p w:rsidR="00FF1AE3" w:rsidRPr="00B01273" w:rsidRDefault="00383F8E" w:rsidP="005C7A9A">
      <w:pPr>
        <w:autoSpaceDE w:val="0"/>
        <w:autoSpaceDN w:val="0"/>
        <w:adjustRightInd w:val="0"/>
        <w:ind w:left="720" w:hanging="274"/>
        <w:jc w:val="both"/>
        <w:rPr>
          <w:rFonts w:ascii="Times New Roman" w:hAnsi="Times New Roman" w:cs="Times New Roman"/>
          <w:sz w:val="24"/>
          <w:szCs w:val="24"/>
          <w:lang w:val="en-US"/>
        </w:rPr>
      </w:pPr>
      <w:r>
        <w:rPr>
          <w:rFonts w:ascii="Times-Roman" w:hAnsi="Times-Roman" w:cs="Times-Roman"/>
          <w:sz w:val="24"/>
          <w:szCs w:val="24"/>
          <w:lang w:val="en-US"/>
        </w:rPr>
        <w:t>Ataseven</w:t>
      </w:r>
      <w:r w:rsidR="00FF1AE3">
        <w:rPr>
          <w:rFonts w:ascii="Times-Roman" w:hAnsi="Times-Roman" w:cs="Times-Roman"/>
          <w:sz w:val="24"/>
          <w:szCs w:val="24"/>
          <w:lang w:val="en-US"/>
        </w:rPr>
        <w:t xml:space="preserve"> C., Pr</w:t>
      </w:r>
      <w:r>
        <w:rPr>
          <w:rFonts w:ascii="Times-Roman" w:hAnsi="Times-Roman" w:cs="Times-Roman"/>
          <w:sz w:val="24"/>
          <w:szCs w:val="24"/>
          <w:lang w:val="en-US"/>
        </w:rPr>
        <w:t>ajogo D.I., Nair</w:t>
      </w:r>
      <w:r w:rsidR="003B1AF7">
        <w:rPr>
          <w:rFonts w:ascii="Times-Roman" w:hAnsi="Times-Roman" w:cs="Times-Roman"/>
          <w:sz w:val="24"/>
          <w:szCs w:val="24"/>
          <w:lang w:val="en-US"/>
        </w:rPr>
        <w:t xml:space="preserve"> A. (2014).</w:t>
      </w:r>
      <w:r w:rsidR="00FF1AE3">
        <w:rPr>
          <w:rFonts w:ascii="Times-Roman" w:hAnsi="Times-Roman" w:cs="Times-Roman"/>
          <w:sz w:val="24"/>
          <w:szCs w:val="24"/>
          <w:lang w:val="en-US"/>
        </w:rPr>
        <w:t xml:space="preserve"> </w:t>
      </w:r>
      <w:proofErr w:type="gramStart"/>
      <w:r w:rsidR="00FF1AE3">
        <w:rPr>
          <w:rFonts w:ascii="Times-Roman" w:hAnsi="Times-Roman" w:cs="Times-Roman"/>
          <w:sz w:val="24"/>
          <w:szCs w:val="24"/>
          <w:lang w:val="en-US"/>
        </w:rPr>
        <w:t>“</w:t>
      </w:r>
      <w:r w:rsidR="00FF1AE3" w:rsidRPr="00B01273">
        <w:rPr>
          <w:rFonts w:ascii="Times-Roman" w:hAnsi="Times-Roman" w:cs="Times-Roman"/>
          <w:sz w:val="24"/>
          <w:szCs w:val="24"/>
          <w:lang w:val="en-US"/>
        </w:rPr>
        <w:t xml:space="preserve">ISO 9000 Internalization and </w:t>
      </w:r>
      <w:r w:rsidR="00FF1AE3">
        <w:rPr>
          <w:rFonts w:ascii="Times-Roman" w:hAnsi="Times-Roman" w:cs="Times-Roman"/>
          <w:sz w:val="24"/>
          <w:szCs w:val="24"/>
          <w:lang w:val="en-US"/>
        </w:rPr>
        <w:t>o</w:t>
      </w:r>
      <w:r w:rsidR="00FF1AE3" w:rsidRPr="00B01273">
        <w:rPr>
          <w:rFonts w:ascii="Times-Roman" w:hAnsi="Times-Roman" w:cs="Times-Roman"/>
          <w:sz w:val="24"/>
          <w:szCs w:val="24"/>
          <w:lang w:val="en-US"/>
        </w:rPr>
        <w:t>rganizational</w:t>
      </w:r>
      <w:r w:rsidR="00FF1AE3">
        <w:rPr>
          <w:rFonts w:ascii="Times-Roman" w:hAnsi="Times-Roman" w:cs="Times-Roman"/>
          <w:sz w:val="24"/>
          <w:szCs w:val="24"/>
          <w:lang w:val="en-US"/>
        </w:rPr>
        <w:t xml:space="preserve"> c</w:t>
      </w:r>
      <w:r w:rsidR="00FF1AE3" w:rsidRPr="00B01273">
        <w:rPr>
          <w:rFonts w:ascii="Times-Roman" w:hAnsi="Times-Roman" w:cs="Times-Roman"/>
          <w:sz w:val="24"/>
          <w:szCs w:val="24"/>
          <w:lang w:val="en-US"/>
        </w:rPr>
        <w:t>ommitment</w:t>
      </w:r>
      <w:r w:rsidR="00FF1AE3">
        <w:rPr>
          <w:rFonts w:ascii="Times-Roman" w:hAnsi="Times-Roman" w:cs="Times-Roman"/>
          <w:sz w:val="24"/>
          <w:szCs w:val="24"/>
          <w:lang w:val="en-US"/>
        </w:rPr>
        <w:t xml:space="preserve">- </w:t>
      </w:r>
      <w:r w:rsidR="00FF1AE3" w:rsidRPr="00B01273">
        <w:rPr>
          <w:rFonts w:ascii="Times-Roman" w:hAnsi="Times-Roman" w:cs="Times-Roman"/>
          <w:sz w:val="24"/>
          <w:szCs w:val="24"/>
          <w:lang w:val="en-US"/>
        </w:rPr>
        <w:t xml:space="preserve">Implications for </w:t>
      </w:r>
      <w:r w:rsidR="00FF1AE3">
        <w:rPr>
          <w:rFonts w:ascii="Times-Roman" w:hAnsi="Times-Roman" w:cs="Times-Roman"/>
          <w:sz w:val="24"/>
          <w:szCs w:val="24"/>
          <w:lang w:val="en-US"/>
        </w:rPr>
        <w:t>p</w:t>
      </w:r>
      <w:r w:rsidR="00FF1AE3" w:rsidRPr="00B01273">
        <w:rPr>
          <w:rFonts w:ascii="Times-Roman" w:hAnsi="Times-Roman" w:cs="Times-Roman"/>
          <w:sz w:val="24"/>
          <w:szCs w:val="24"/>
          <w:lang w:val="en-US"/>
        </w:rPr>
        <w:t>rocess</w:t>
      </w:r>
      <w:r w:rsidR="00FF1AE3">
        <w:rPr>
          <w:rFonts w:ascii="Times-Roman" w:hAnsi="Times-Roman" w:cs="Times-Roman"/>
          <w:sz w:val="24"/>
          <w:szCs w:val="24"/>
          <w:lang w:val="en-US"/>
        </w:rPr>
        <w:t xml:space="preserve"> i</w:t>
      </w:r>
      <w:r w:rsidR="00FF1AE3" w:rsidRPr="00B01273">
        <w:rPr>
          <w:rFonts w:ascii="Times-Roman" w:hAnsi="Times-Roman" w:cs="Times-Roman"/>
          <w:sz w:val="24"/>
          <w:szCs w:val="24"/>
          <w:lang w:val="en-US"/>
        </w:rPr>
        <w:t xml:space="preserve">mprovement and </w:t>
      </w:r>
      <w:r w:rsidR="00FF1AE3">
        <w:rPr>
          <w:rFonts w:ascii="Times-Roman" w:hAnsi="Times-Roman" w:cs="Times-Roman"/>
          <w:sz w:val="24"/>
          <w:szCs w:val="24"/>
          <w:lang w:val="en-US"/>
        </w:rPr>
        <w:t>operational p</w:t>
      </w:r>
      <w:r w:rsidR="00FF1AE3" w:rsidRPr="00B01273">
        <w:rPr>
          <w:rFonts w:ascii="Times-Roman" w:hAnsi="Times-Roman" w:cs="Times-Roman"/>
          <w:sz w:val="24"/>
          <w:szCs w:val="24"/>
          <w:lang w:val="en-US"/>
        </w:rPr>
        <w:t>erformance</w:t>
      </w:r>
      <w:r w:rsidR="00FF1AE3">
        <w:rPr>
          <w:rFonts w:ascii="Times-Roman" w:hAnsi="Times-Roman" w:cs="Times-Roman"/>
          <w:sz w:val="24"/>
          <w:szCs w:val="24"/>
          <w:lang w:val="en-US"/>
        </w:rPr>
        <w:t>”</w:t>
      </w:r>
      <w:r w:rsidR="003B1AF7">
        <w:rPr>
          <w:rFonts w:ascii="Times-Roman" w:hAnsi="Times-Roman" w:cs="Times-Roman"/>
          <w:sz w:val="24"/>
          <w:szCs w:val="24"/>
          <w:lang w:val="en-US"/>
        </w:rPr>
        <w:t>.</w:t>
      </w:r>
      <w:proofErr w:type="gramEnd"/>
      <w:r w:rsidR="003B1AF7">
        <w:rPr>
          <w:rFonts w:ascii="Times-Roman" w:hAnsi="Times-Roman" w:cs="Times-Roman"/>
          <w:sz w:val="24"/>
          <w:szCs w:val="24"/>
          <w:lang w:val="en-US"/>
        </w:rPr>
        <w:t xml:space="preserve"> </w:t>
      </w:r>
      <w:r w:rsidR="00FF1AE3" w:rsidRPr="00FF1AE3">
        <w:rPr>
          <w:rFonts w:ascii="Times-Roman" w:hAnsi="Times-Roman" w:cs="Times-Roman"/>
          <w:i/>
          <w:sz w:val="24"/>
          <w:szCs w:val="24"/>
          <w:lang w:val="en-US"/>
        </w:rPr>
        <w:t>IEEE Transactions on Engineering Management</w:t>
      </w:r>
      <w:r w:rsidR="00FF1AE3">
        <w:rPr>
          <w:rFonts w:ascii="Times-Roman" w:hAnsi="Times-Roman" w:cs="Times-Roman"/>
          <w:sz w:val="24"/>
          <w:szCs w:val="24"/>
          <w:lang w:val="en-US"/>
        </w:rPr>
        <w:t>, 61(1), 5-17.</w:t>
      </w:r>
    </w:p>
    <w:p w:rsidR="00964544" w:rsidRPr="008751F4" w:rsidRDefault="00383F8E" w:rsidP="005C7A9A">
      <w:pPr>
        <w:tabs>
          <w:tab w:val="left" w:pos="360"/>
          <w:tab w:val="left" w:pos="709"/>
        </w:tabs>
        <w:ind w:left="720" w:hanging="274"/>
        <w:jc w:val="both"/>
        <w:rPr>
          <w:rStyle w:val="pagerange"/>
          <w:rFonts w:ascii="Times New Roman" w:hAnsi="Times New Roman" w:cs="Times New Roman"/>
          <w:color w:val="000000" w:themeColor="text1"/>
          <w:sz w:val="24"/>
          <w:szCs w:val="24"/>
          <w:shd w:val="clear" w:color="auto" w:fill="FFFFFF"/>
          <w:lang w:val="en-US"/>
        </w:rPr>
      </w:pPr>
      <w:r>
        <w:rPr>
          <w:rStyle w:val="authors"/>
          <w:rFonts w:ascii="Times New Roman" w:hAnsi="Times New Roman" w:cs="Times New Roman"/>
          <w:color w:val="000000" w:themeColor="text1"/>
          <w:sz w:val="24"/>
          <w:szCs w:val="24"/>
          <w:shd w:val="clear" w:color="auto" w:fill="FFFFFF"/>
          <w:lang w:val="en-US"/>
        </w:rPr>
        <w:t>Bernardo</w:t>
      </w:r>
      <w:r w:rsidR="00964544" w:rsidRPr="008751F4">
        <w:rPr>
          <w:rStyle w:val="authors"/>
          <w:rFonts w:ascii="Times New Roman" w:hAnsi="Times New Roman" w:cs="Times New Roman"/>
          <w:color w:val="000000" w:themeColor="text1"/>
          <w:sz w:val="24"/>
          <w:szCs w:val="24"/>
          <w:shd w:val="clear" w:color="auto" w:fill="FFFFFF"/>
          <w:lang w:val="en-US"/>
        </w:rPr>
        <w:t xml:space="preserve"> M.</w:t>
      </w:r>
      <w:r>
        <w:rPr>
          <w:rStyle w:val="authors"/>
          <w:rFonts w:ascii="Times New Roman" w:hAnsi="Times New Roman" w:cs="Times New Roman"/>
          <w:color w:val="000000" w:themeColor="text1"/>
          <w:sz w:val="24"/>
          <w:szCs w:val="24"/>
          <w:shd w:val="clear" w:color="auto" w:fill="FFFFFF"/>
          <w:lang w:val="en-US"/>
        </w:rPr>
        <w:t>, Gotzamani K., Vouzas F., Casadesus</w:t>
      </w:r>
      <w:r w:rsidR="00964544" w:rsidRPr="008751F4">
        <w:rPr>
          <w:rStyle w:val="authors"/>
          <w:rFonts w:ascii="Times New Roman" w:hAnsi="Times New Roman" w:cs="Times New Roman"/>
          <w:color w:val="000000" w:themeColor="text1"/>
          <w:sz w:val="24"/>
          <w:szCs w:val="24"/>
          <w:shd w:val="clear" w:color="auto" w:fill="FFFFFF"/>
          <w:lang w:val="en-US"/>
        </w:rPr>
        <w:t xml:space="preserve"> M.</w:t>
      </w:r>
      <w:r w:rsidR="00964544" w:rsidRPr="008751F4">
        <w:rPr>
          <w:rFonts w:ascii="Times New Roman" w:hAnsi="Times New Roman" w:cs="Times New Roman"/>
          <w:color w:val="000000" w:themeColor="text1"/>
          <w:sz w:val="24"/>
          <w:szCs w:val="24"/>
          <w:shd w:val="clear" w:color="auto" w:fill="FFFFFF"/>
          <w:lang w:val="en-US"/>
        </w:rPr>
        <w:t xml:space="preserve"> </w:t>
      </w:r>
      <w:r w:rsidR="00964544" w:rsidRPr="008751F4">
        <w:rPr>
          <w:rStyle w:val="date"/>
          <w:rFonts w:ascii="Times New Roman" w:hAnsi="Times New Roman" w:cs="Times New Roman"/>
          <w:color w:val="000000" w:themeColor="text1"/>
          <w:sz w:val="24"/>
          <w:szCs w:val="24"/>
          <w:shd w:val="clear" w:color="auto" w:fill="FFFFFF"/>
          <w:lang w:val="en-US"/>
        </w:rPr>
        <w:t>(2016)</w:t>
      </w:r>
      <w:r w:rsidR="00964544" w:rsidRPr="008751F4">
        <w:rPr>
          <w:rFonts w:ascii="Times New Roman" w:hAnsi="Times New Roman" w:cs="Times New Roman"/>
          <w:color w:val="000000" w:themeColor="text1"/>
          <w:sz w:val="24"/>
          <w:szCs w:val="24"/>
          <w:shd w:val="clear" w:color="auto" w:fill="FFFFFF"/>
          <w:lang w:val="en-US"/>
        </w:rPr>
        <w:t xml:space="preserve">. </w:t>
      </w:r>
      <w:proofErr w:type="gramStart"/>
      <w:r w:rsidR="0063798D" w:rsidRPr="008751F4">
        <w:rPr>
          <w:rFonts w:ascii="Times New Roman" w:hAnsi="Times New Roman" w:cs="Times New Roman"/>
          <w:sz w:val="24"/>
          <w:szCs w:val="24"/>
          <w:lang w:val="en-US"/>
        </w:rPr>
        <w:t>“</w:t>
      </w:r>
      <w:r w:rsidR="00964544" w:rsidRPr="008751F4">
        <w:rPr>
          <w:rStyle w:val="arttitle"/>
          <w:rFonts w:ascii="Times New Roman" w:hAnsi="Times New Roman" w:cs="Times New Roman"/>
          <w:color w:val="000000" w:themeColor="text1"/>
          <w:sz w:val="24"/>
          <w:szCs w:val="24"/>
          <w:shd w:val="clear" w:color="auto" w:fill="FFFFFF"/>
          <w:lang w:val="en-US"/>
        </w:rPr>
        <w:t>A qualitative study on integrated management systems in a non-leading country in certifications</w:t>
      </w:r>
      <w:r w:rsidR="0063798D" w:rsidRPr="008751F4">
        <w:rPr>
          <w:rFonts w:ascii="Times New Roman" w:hAnsi="Times New Roman" w:cs="Times New Roman"/>
          <w:sz w:val="24"/>
          <w:szCs w:val="24"/>
          <w:lang w:val="en-US"/>
        </w:rPr>
        <w:t>”</w:t>
      </w:r>
      <w:r w:rsidR="003B1AF7">
        <w:rPr>
          <w:rStyle w:val="arttitle"/>
          <w:rFonts w:ascii="Times New Roman" w:hAnsi="Times New Roman" w:cs="Times New Roman"/>
          <w:color w:val="000000" w:themeColor="text1"/>
          <w:sz w:val="24"/>
          <w:szCs w:val="24"/>
          <w:shd w:val="clear" w:color="auto" w:fill="FFFFFF"/>
          <w:lang w:val="en-US"/>
        </w:rPr>
        <w:t>.</w:t>
      </w:r>
      <w:proofErr w:type="gramEnd"/>
      <w:r w:rsidR="00964544" w:rsidRPr="008751F4">
        <w:rPr>
          <w:rFonts w:ascii="Times New Roman" w:hAnsi="Times New Roman" w:cs="Times New Roman"/>
          <w:i/>
          <w:color w:val="000000" w:themeColor="text1"/>
          <w:sz w:val="24"/>
          <w:szCs w:val="24"/>
          <w:shd w:val="clear" w:color="auto" w:fill="FFFFFF"/>
          <w:lang w:val="en-US"/>
        </w:rPr>
        <w:t xml:space="preserve"> </w:t>
      </w:r>
      <w:r w:rsidR="00964544" w:rsidRPr="008751F4">
        <w:rPr>
          <w:rStyle w:val="serialtitle"/>
          <w:rFonts w:ascii="Times New Roman" w:hAnsi="Times New Roman" w:cs="Times New Roman"/>
          <w:i/>
          <w:color w:val="000000" w:themeColor="text1"/>
          <w:sz w:val="24"/>
          <w:szCs w:val="24"/>
          <w:shd w:val="clear" w:color="auto" w:fill="FFFFFF"/>
          <w:lang w:val="en-US"/>
        </w:rPr>
        <w:t>Total Quality Management &amp; Business Excellence</w:t>
      </w:r>
      <w:r w:rsidR="00964544" w:rsidRPr="008751F4">
        <w:rPr>
          <w:rStyle w:val="serialtitle"/>
          <w:rFonts w:ascii="Times New Roman" w:hAnsi="Times New Roman" w:cs="Times New Roman"/>
          <w:color w:val="000000" w:themeColor="text1"/>
          <w:sz w:val="24"/>
          <w:szCs w:val="24"/>
          <w:shd w:val="clear" w:color="auto" w:fill="FFFFFF"/>
          <w:lang w:val="en-US"/>
        </w:rPr>
        <w:t>,</w:t>
      </w:r>
      <w:r w:rsidR="00964544" w:rsidRPr="008751F4">
        <w:rPr>
          <w:rFonts w:ascii="Times New Roman" w:hAnsi="Times New Roman" w:cs="Times New Roman"/>
          <w:color w:val="000000" w:themeColor="text1"/>
          <w:sz w:val="24"/>
          <w:szCs w:val="24"/>
          <w:shd w:val="clear" w:color="auto" w:fill="FFFFFF"/>
          <w:lang w:val="en-US"/>
        </w:rPr>
        <w:t xml:space="preserve"> </w:t>
      </w:r>
      <w:r w:rsidR="00964544" w:rsidRPr="008751F4">
        <w:rPr>
          <w:rStyle w:val="volumeissue"/>
          <w:rFonts w:ascii="Times New Roman" w:hAnsi="Times New Roman" w:cs="Times New Roman"/>
          <w:color w:val="000000" w:themeColor="text1"/>
          <w:sz w:val="24"/>
          <w:szCs w:val="24"/>
          <w:shd w:val="clear" w:color="auto" w:fill="FFFFFF"/>
          <w:lang w:val="en-US"/>
        </w:rPr>
        <w:t>29(3-4),</w:t>
      </w:r>
      <w:r w:rsidR="00964544" w:rsidRPr="008751F4">
        <w:rPr>
          <w:rFonts w:ascii="Times New Roman" w:hAnsi="Times New Roman" w:cs="Times New Roman"/>
          <w:color w:val="000000" w:themeColor="text1"/>
          <w:sz w:val="24"/>
          <w:szCs w:val="24"/>
          <w:shd w:val="clear" w:color="auto" w:fill="FFFFFF"/>
          <w:lang w:val="en-US"/>
        </w:rPr>
        <w:t xml:space="preserve"> </w:t>
      </w:r>
      <w:r w:rsidR="00964544" w:rsidRPr="008751F4">
        <w:rPr>
          <w:rStyle w:val="pagerange"/>
          <w:rFonts w:ascii="Times New Roman" w:hAnsi="Times New Roman" w:cs="Times New Roman"/>
          <w:color w:val="000000" w:themeColor="text1"/>
          <w:sz w:val="24"/>
          <w:szCs w:val="24"/>
          <w:shd w:val="clear" w:color="auto" w:fill="FFFFFF"/>
          <w:lang w:val="en-US"/>
        </w:rPr>
        <w:t>453-480.</w:t>
      </w:r>
    </w:p>
    <w:p w:rsidR="00964544" w:rsidRPr="008751F4" w:rsidRDefault="00383F8E" w:rsidP="005C7A9A">
      <w:pPr>
        <w:tabs>
          <w:tab w:val="left" w:pos="360"/>
          <w:tab w:val="left" w:pos="709"/>
          <w:tab w:val="left" w:pos="1170"/>
        </w:tabs>
        <w:autoSpaceDE w:val="0"/>
        <w:autoSpaceDN w:val="0"/>
        <w:adjustRightInd w:val="0"/>
        <w:ind w:left="720" w:hanging="270"/>
        <w:jc w:val="both"/>
        <w:rPr>
          <w:rFonts w:ascii="Times New Roman" w:hAnsi="Times New Roman" w:cs="Times New Roman"/>
          <w:sz w:val="24"/>
          <w:szCs w:val="24"/>
          <w:lang w:val="en-US"/>
        </w:rPr>
      </w:pPr>
      <w:r>
        <w:rPr>
          <w:rFonts w:ascii="Times New Roman" w:hAnsi="Times New Roman" w:cs="Times New Roman"/>
          <w:sz w:val="24"/>
          <w:szCs w:val="24"/>
          <w:lang w:val="en-US"/>
        </w:rPr>
        <w:t>Bernardo M., Gianni M., Gotzamani K.,</w:t>
      </w:r>
      <w:r w:rsidR="00964544" w:rsidRPr="008751F4">
        <w:rPr>
          <w:rFonts w:ascii="Times New Roman" w:hAnsi="Times New Roman" w:cs="Times New Roman"/>
          <w:sz w:val="24"/>
          <w:szCs w:val="24"/>
          <w:lang w:val="en-US"/>
        </w:rPr>
        <w:t xml:space="preserve"> Simon A. (2017). </w:t>
      </w:r>
      <w:r w:rsidR="0063798D" w:rsidRPr="008751F4">
        <w:rPr>
          <w:rFonts w:ascii="Times New Roman" w:hAnsi="Times New Roman" w:cs="Times New Roman"/>
          <w:sz w:val="24"/>
          <w:szCs w:val="24"/>
          <w:lang w:val="en-US"/>
        </w:rPr>
        <w:t>“</w:t>
      </w:r>
      <w:r w:rsidR="00964544" w:rsidRPr="008751F4">
        <w:rPr>
          <w:rFonts w:ascii="Times New Roman" w:hAnsi="Times New Roman" w:cs="Times New Roman"/>
          <w:sz w:val="24"/>
          <w:szCs w:val="24"/>
          <w:lang w:val="en-US"/>
        </w:rPr>
        <w:t xml:space="preserve">Is there a common pattern to integrate multiple management systems? </w:t>
      </w:r>
      <w:proofErr w:type="gramStart"/>
      <w:r w:rsidR="00964544" w:rsidRPr="008751F4">
        <w:rPr>
          <w:rFonts w:ascii="Times New Roman" w:hAnsi="Times New Roman" w:cs="Times New Roman"/>
          <w:sz w:val="24"/>
          <w:szCs w:val="24"/>
          <w:lang w:val="en-US"/>
        </w:rPr>
        <w:t>A comparative analysis between organizations in Greece and Spain</w:t>
      </w:r>
      <w:r w:rsidR="0063798D" w:rsidRPr="008751F4">
        <w:rPr>
          <w:rFonts w:ascii="Times New Roman" w:hAnsi="Times New Roman" w:cs="Times New Roman"/>
          <w:sz w:val="24"/>
          <w:szCs w:val="24"/>
          <w:lang w:val="en-US"/>
        </w:rPr>
        <w:t>”</w:t>
      </w:r>
      <w:r w:rsidR="00964544" w:rsidRPr="008751F4">
        <w:rPr>
          <w:rFonts w:ascii="Times New Roman" w:hAnsi="Times New Roman" w:cs="Times New Roman"/>
          <w:sz w:val="24"/>
          <w:szCs w:val="24"/>
          <w:lang w:val="en-US"/>
        </w:rPr>
        <w:t>.</w:t>
      </w:r>
      <w:proofErr w:type="gramEnd"/>
      <w:r w:rsidR="00964544" w:rsidRPr="008751F4">
        <w:rPr>
          <w:rFonts w:ascii="Times New Roman" w:hAnsi="Times New Roman" w:cs="Times New Roman"/>
          <w:sz w:val="24"/>
          <w:szCs w:val="24"/>
          <w:lang w:val="en-US"/>
        </w:rPr>
        <w:t xml:space="preserve"> </w:t>
      </w:r>
      <w:r w:rsidR="00964544" w:rsidRPr="008751F4">
        <w:rPr>
          <w:rFonts w:ascii="Times New Roman" w:hAnsi="Times New Roman" w:cs="Times New Roman"/>
          <w:i/>
          <w:sz w:val="24"/>
          <w:szCs w:val="24"/>
          <w:lang w:val="en-US"/>
        </w:rPr>
        <w:t>Journal of Cleaner Production</w:t>
      </w:r>
      <w:r w:rsidR="00964544" w:rsidRPr="008751F4">
        <w:rPr>
          <w:rFonts w:ascii="Times New Roman" w:hAnsi="Times New Roman" w:cs="Times New Roman"/>
          <w:sz w:val="24"/>
          <w:szCs w:val="24"/>
          <w:lang w:val="en-US"/>
        </w:rPr>
        <w:t>, 151, 121-133.</w:t>
      </w:r>
    </w:p>
    <w:p w:rsidR="00DC5A74" w:rsidRPr="008751F4" w:rsidRDefault="00383F8E" w:rsidP="005C7A9A">
      <w:pPr>
        <w:ind w:left="720" w:hanging="27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Bou-Llusar</w:t>
      </w:r>
      <w:r w:rsidR="00DC5A74" w:rsidRPr="008751F4">
        <w:rPr>
          <w:rFonts w:ascii="Times New Roman" w:hAnsi="Times New Roman" w:cs="Times New Roman"/>
          <w:sz w:val="24"/>
          <w:szCs w:val="24"/>
          <w:lang w:val="en-GB"/>
        </w:rPr>
        <w:t xml:space="preserve"> J.C., Escrig-Tena</w:t>
      </w:r>
      <w:r>
        <w:rPr>
          <w:rFonts w:ascii="Times New Roman" w:hAnsi="Times New Roman" w:cs="Times New Roman"/>
          <w:sz w:val="24"/>
          <w:szCs w:val="24"/>
          <w:lang w:val="en-GB"/>
        </w:rPr>
        <w:t xml:space="preserve"> A.B., Roca-Puig</w:t>
      </w:r>
      <w:r w:rsidR="00DC5A74" w:rsidRPr="008751F4">
        <w:rPr>
          <w:rFonts w:ascii="Times New Roman" w:hAnsi="Times New Roman" w:cs="Times New Roman"/>
          <w:sz w:val="24"/>
          <w:szCs w:val="24"/>
          <w:lang w:val="en-GB"/>
        </w:rPr>
        <w:t xml:space="preserve"> V</w:t>
      </w:r>
      <w:r>
        <w:rPr>
          <w:rFonts w:ascii="Times New Roman" w:hAnsi="Times New Roman" w:cs="Times New Roman"/>
          <w:sz w:val="24"/>
          <w:szCs w:val="24"/>
          <w:lang w:val="en-GB"/>
        </w:rPr>
        <w:t>.,</w:t>
      </w:r>
      <w:r w:rsidR="003B1AF7">
        <w:rPr>
          <w:rFonts w:ascii="Times New Roman" w:hAnsi="Times New Roman" w:cs="Times New Roman"/>
          <w:sz w:val="24"/>
          <w:szCs w:val="24"/>
          <w:lang w:val="en-GB"/>
        </w:rPr>
        <w:t xml:space="preserve"> Beltrán Martín I. (2009).</w:t>
      </w:r>
      <w:proofErr w:type="gramEnd"/>
      <w:r w:rsidR="00DC5A74" w:rsidRPr="008751F4">
        <w:rPr>
          <w:rFonts w:ascii="Times New Roman" w:hAnsi="Times New Roman" w:cs="Times New Roman"/>
          <w:sz w:val="24"/>
          <w:szCs w:val="24"/>
          <w:lang w:val="en-GB"/>
        </w:rPr>
        <w:t xml:space="preserve"> “An empirical assessment of the EFQM excellence model: Evaluation as a TQM framewo</w:t>
      </w:r>
      <w:r w:rsidR="003B1AF7">
        <w:rPr>
          <w:rFonts w:ascii="Times New Roman" w:hAnsi="Times New Roman" w:cs="Times New Roman"/>
          <w:sz w:val="24"/>
          <w:szCs w:val="24"/>
          <w:lang w:val="en-GB"/>
        </w:rPr>
        <w:t>rk relative to the MBNQA model”.</w:t>
      </w:r>
      <w:r w:rsidR="00DC5A74" w:rsidRPr="008751F4">
        <w:rPr>
          <w:rFonts w:ascii="Times New Roman" w:hAnsi="Times New Roman" w:cs="Times New Roman"/>
          <w:sz w:val="24"/>
          <w:szCs w:val="24"/>
          <w:lang w:val="en-GB"/>
        </w:rPr>
        <w:t xml:space="preserve"> </w:t>
      </w:r>
      <w:r w:rsidR="00DC5A74" w:rsidRPr="008751F4">
        <w:rPr>
          <w:rFonts w:ascii="Times New Roman" w:hAnsi="Times New Roman" w:cs="Times New Roman"/>
          <w:i/>
          <w:sz w:val="24"/>
          <w:szCs w:val="24"/>
          <w:lang w:val="en-GB"/>
        </w:rPr>
        <w:t>Journal of Operations Management</w:t>
      </w:r>
      <w:r w:rsidR="00DC5A74" w:rsidRPr="008751F4">
        <w:rPr>
          <w:rFonts w:ascii="Times New Roman" w:hAnsi="Times New Roman" w:cs="Times New Roman"/>
          <w:sz w:val="24"/>
          <w:szCs w:val="24"/>
          <w:lang w:val="en-GB"/>
        </w:rPr>
        <w:t>, 27</w:t>
      </w:r>
      <w:r w:rsidR="00D542B9">
        <w:rPr>
          <w:rFonts w:ascii="Times New Roman" w:hAnsi="Times New Roman" w:cs="Times New Roman"/>
          <w:sz w:val="24"/>
          <w:szCs w:val="24"/>
          <w:lang w:val="en-GB"/>
        </w:rPr>
        <w:t>(</w:t>
      </w:r>
      <w:r w:rsidR="00DC5A74" w:rsidRPr="008751F4">
        <w:rPr>
          <w:rFonts w:ascii="Times New Roman" w:hAnsi="Times New Roman" w:cs="Times New Roman"/>
          <w:sz w:val="24"/>
          <w:szCs w:val="24"/>
          <w:lang w:val="en-GB"/>
        </w:rPr>
        <w:t>1</w:t>
      </w:r>
      <w:r w:rsidR="00D542B9">
        <w:rPr>
          <w:rFonts w:ascii="Times New Roman" w:hAnsi="Times New Roman" w:cs="Times New Roman"/>
          <w:sz w:val="24"/>
          <w:szCs w:val="24"/>
          <w:lang w:val="en-GB"/>
        </w:rPr>
        <w:t>)</w:t>
      </w:r>
      <w:r w:rsidR="00DC5A74" w:rsidRPr="008751F4">
        <w:rPr>
          <w:rFonts w:ascii="Times New Roman" w:hAnsi="Times New Roman" w:cs="Times New Roman"/>
          <w:sz w:val="24"/>
          <w:szCs w:val="24"/>
          <w:lang w:val="en-GB"/>
        </w:rPr>
        <w:t>, 1-22.</w:t>
      </w:r>
    </w:p>
    <w:p w:rsidR="00011F19" w:rsidRPr="002F0EC7" w:rsidRDefault="0014677B" w:rsidP="005C7A9A">
      <w:pPr>
        <w:ind w:left="720" w:hanging="270"/>
        <w:jc w:val="both"/>
        <w:rPr>
          <w:rFonts w:ascii="Times New Roman" w:hAnsi="Times New Roman" w:cs="Times New Roman"/>
          <w:sz w:val="24"/>
          <w:szCs w:val="24"/>
          <w:lang w:val="en-GB"/>
        </w:rPr>
      </w:pPr>
      <w:r w:rsidRPr="00496F78">
        <w:rPr>
          <w:rStyle w:val="nlmstring-name"/>
          <w:rFonts w:ascii="Times New Roman" w:hAnsi="Times New Roman" w:cs="Times New Roman"/>
          <w:sz w:val="24"/>
          <w:szCs w:val="24"/>
          <w:lang w:val="en-US"/>
        </w:rPr>
        <w:t>Bourlakis</w:t>
      </w:r>
      <w:r w:rsidR="00011F19" w:rsidRPr="00496F78">
        <w:rPr>
          <w:rStyle w:val="nlmstring-name"/>
          <w:rFonts w:ascii="Times New Roman" w:hAnsi="Times New Roman" w:cs="Times New Roman"/>
          <w:sz w:val="24"/>
          <w:szCs w:val="24"/>
          <w:lang w:val="en-US"/>
        </w:rPr>
        <w:t xml:space="preserve"> M.</w:t>
      </w:r>
      <w:r w:rsidR="00011F19" w:rsidRPr="00496F78">
        <w:rPr>
          <w:rStyle w:val="balloon"/>
          <w:rFonts w:ascii="Times New Roman" w:hAnsi="Times New Roman" w:cs="Times New Roman"/>
          <w:sz w:val="24"/>
          <w:szCs w:val="24"/>
          <w:lang w:val="en-US"/>
        </w:rPr>
        <w:t xml:space="preserve">, </w:t>
      </w:r>
      <w:r w:rsidRPr="00496F78">
        <w:rPr>
          <w:rStyle w:val="nlmstring-name"/>
          <w:rFonts w:ascii="Times New Roman" w:hAnsi="Times New Roman" w:cs="Times New Roman"/>
          <w:sz w:val="24"/>
          <w:szCs w:val="24"/>
          <w:lang w:val="en-US"/>
        </w:rPr>
        <w:t>Maglaras</w:t>
      </w:r>
      <w:r w:rsidR="00011F19" w:rsidRPr="00496F78">
        <w:rPr>
          <w:rStyle w:val="nlmstring-name"/>
          <w:rFonts w:ascii="Times New Roman" w:hAnsi="Times New Roman" w:cs="Times New Roman"/>
          <w:sz w:val="24"/>
          <w:szCs w:val="24"/>
          <w:lang w:val="en-US"/>
        </w:rPr>
        <w:t xml:space="preserve"> G.</w:t>
      </w:r>
      <w:r w:rsidR="00011F19" w:rsidRPr="00496F78">
        <w:rPr>
          <w:rStyle w:val="balloon"/>
          <w:rFonts w:ascii="Times New Roman" w:hAnsi="Times New Roman" w:cs="Times New Roman"/>
          <w:sz w:val="24"/>
          <w:szCs w:val="24"/>
          <w:lang w:val="en-US"/>
        </w:rPr>
        <w:t xml:space="preserve">, </w:t>
      </w:r>
      <w:r w:rsidRPr="00496F78">
        <w:rPr>
          <w:rStyle w:val="nlmstring-name"/>
          <w:rFonts w:ascii="Times New Roman" w:hAnsi="Times New Roman" w:cs="Times New Roman"/>
          <w:sz w:val="24"/>
          <w:szCs w:val="24"/>
          <w:lang w:val="en-US"/>
        </w:rPr>
        <w:t>Aktas</w:t>
      </w:r>
      <w:r w:rsidR="00011F19" w:rsidRPr="00496F78">
        <w:rPr>
          <w:rStyle w:val="nlmstring-name"/>
          <w:rFonts w:ascii="Times New Roman" w:hAnsi="Times New Roman" w:cs="Times New Roman"/>
          <w:sz w:val="24"/>
          <w:szCs w:val="24"/>
          <w:lang w:val="en-US"/>
        </w:rPr>
        <w:t xml:space="preserve"> E.</w:t>
      </w:r>
      <w:r w:rsidR="00011F19" w:rsidRPr="00496F78">
        <w:rPr>
          <w:rStyle w:val="balloon"/>
          <w:rFonts w:ascii="Times New Roman" w:hAnsi="Times New Roman" w:cs="Times New Roman"/>
          <w:sz w:val="24"/>
          <w:szCs w:val="24"/>
          <w:lang w:val="en-US"/>
        </w:rPr>
        <w:t xml:space="preserve">, </w:t>
      </w:r>
      <w:r w:rsidRPr="00496F78">
        <w:rPr>
          <w:rStyle w:val="nlmstring-name"/>
          <w:rFonts w:ascii="Times New Roman" w:hAnsi="Times New Roman" w:cs="Times New Roman"/>
          <w:sz w:val="24"/>
          <w:szCs w:val="24"/>
          <w:lang w:val="en-US"/>
        </w:rPr>
        <w:t>Gallear</w:t>
      </w:r>
      <w:r w:rsidR="00011F19" w:rsidRPr="00496F78">
        <w:rPr>
          <w:rStyle w:val="nlmstring-name"/>
          <w:rFonts w:ascii="Times New Roman" w:hAnsi="Times New Roman" w:cs="Times New Roman"/>
          <w:sz w:val="24"/>
          <w:szCs w:val="24"/>
          <w:lang w:val="en-US"/>
        </w:rPr>
        <w:t xml:space="preserve"> D.</w:t>
      </w:r>
      <w:r w:rsidRPr="00496F78">
        <w:rPr>
          <w:rStyle w:val="balloon"/>
          <w:rFonts w:ascii="Times New Roman" w:hAnsi="Times New Roman" w:cs="Times New Roman"/>
          <w:sz w:val="24"/>
          <w:szCs w:val="24"/>
          <w:lang w:val="en-US"/>
        </w:rPr>
        <w:t xml:space="preserve">, </w:t>
      </w:r>
      <w:r w:rsidR="00011F19" w:rsidRPr="00496F78">
        <w:rPr>
          <w:rStyle w:val="nlmstring-name"/>
          <w:rFonts w:ascii="Times New Roman" w:hAnsi="Times New Roman" w:cs="Times New Roman"/>
          <w:sz w:val="24"/>
          <w:szCs w:val="24"/>
          <w:lang w:val="en-US"/>
        </w:rPr>
        <w:t>Fotopoulos, C.</w:t>
      </w:r>
      <w:r w:rsidR="00011F19" w:rsidRPr="00496F78">
        <w:rPr>
          <w:rStyle w:val="balloon"/>
          <w:rFonts w:ascii="Times New Roman" w:hAnsi="Times New Roman" w:cs="Times New Roman"/>
          <w:sz w:val="24"/>
          <w:szCs w:val="24"/>
          <w:lang w:val="en-US"/>
        </w:rPr>
        <w:t xml:space="preserve"> (</w:t>
      </w:r>
      <w:r w:rsidR="00011F19" w:rsidRPr="00496F78">
        <w:rPr>
          <w:rStyle w:val="nlmyear"/>
          <w:rFonts w:ascii="Times New Roman" w:hAnsi="Times New Roman" w:cs="Times New Roman"/>
          <w:sz w:val="24"/>
          <w:szCs w:val="24"/>
          <w:lang w:val="en-US"/>
        </w:rPr>
        <w:t>2014</w:t>
      </w:r>
      <w:r w:rsidR="003B1AF7" w:rsidRPr="00496F78">
        <w:rPr>
          <w:rStyle w:val="balloon"/>
          <w:rFonts w:ascii="Times New Roman" w:hAnsi="Times New Roman" w:cs="Times New Roman"/>
          <w:sz w:val="24"/>
          <w:szCs w:val="24"/>
          <w:lang w:val="en-US"/>
        </w:rPr>
        <w:t xml:space="preserve">). </w:t>
      </w:r>
      <w:r w:rsidR="00011F19" w:rsidRPr="00496F78">
        <w:rPr>
          <w:rStyle w:val="balloon"/>
          <w:rFonts w:ascii="Times New Roman" w:hAnsi="Times New Roman" w:cs="Times New Roman"/>
          <w:sz w:val="24"/>
          <w:szCs w:val="24"/>
          <w:lang w:val="en-US"/>
        </w:rPr>
        <w:t>“</w:t>
      </w:r>
      <w:r w:rsidR="00011F19" w:rsidRPr="00496F78">
        <w:rPr>
          <w:rStyle w:val="nlmarticle-title"/>
          <w:rFonts w:ascii="Times New Roman" w:hAnsi="Times New Roman" w:cs="Times New Roman"/>
          <w:sz w:val="24"/>
          <w:szCs w:val="24"/>
          <w:lang w:val="en-US"/>
        </w:rPr>
        <w:t>Firm size and sustainable performance in food supply chains: insights from Greek SMEs</w:t>
      </w:r>
      <w:r w:rsidR="003B1AF7" w:rsidRPr="00496F78">
        <w:rPr>
          <w:rStyle w:val="balloon"/>
          <w:rFonts w:ascii="Times New Roman" w:hAnsi="Times New Roman" w:cs="Times New Roman"/>
          <w:sz w:val="24"/>
          <w:szCs w:val="24"/>
          <w:lang w:val="en-US"/>
        </w:rPr>
        <w:t>”.</w:t>
      </w:r>
      <w:r w:rsidR="00011F19" w:rsidRPr="00496F78">
        <w:rPr>
          <w:rStyle w:val="balloon"/>
          <w:rFonts w:ascii="Times New Roman" w:hAnsi="Times New Roman" w:cs="Times New Roman"/>
          <w:sz w:val="24"/>
          <w:szCs w:val="24"/>
          <w:lang w:val="en-US"/>
        </w:rPr>
        <w:t xml:space="preserve"> </w:t>
      </w:r>
      <w:r w:rsidR="00011F19" w:rsidRPr="00496F78">
        <w:rPr>
          <w:rStyle w:val="balloon"/>
          <w:rFonts w:ascii="Times New Roman" w:hAnsi="Times New Roman" w:cs="Times New Roman"/>
          <w:i/>
          <w:sz w:val="24"/>
          <w:szCs w:val="24"/>
          <w:lang w:val="en-US"/>
        </w:rPr>
        <w:t>International Journa</w:t>
      </w:r>
      <w:r w:rsidR="00D542B9" w:rsidRPr="00496F78">
        <w:rPr>
          <w:rStyle w:val="balloon"/>
          <w:rFonts w:ascii="Times New Roman" w:hAnsi="Times New Roman" w:cs="Times New Roman"/>
          <w:i/>
          <w:sz w:val="24"/>
          <w:szCs w:val="24"/>
          <w:lang w:val="en-US"/>
        </w:rPr>
        <w:t>l of Production Economics</w:t>
      </w:r>
      <w:r w:rsidR="00D542B9" w:rsidRPr="00496F78">
        <w:rPr>
          <w:rStyle w:val="balloon"/>
          <w:rFonts w:ascii="Times New Roman" w:hAnsi="Times New Roman" w:cs="Times New Roman"/>
          <w:sz w:val="24"/>
          <w:szCs w:val="24"/>
          <w:lang w:val="en-US"/>
        </w:rPr>
        <w:t xml:space="preserve">, </w:t>
      </w:r>
      <w:r w:rsidR="00011F19" w:rsidRPr="00496F78">
        <w:rPr>
          <w:rStyle w:val="balloon"/>
          <w:rFonts w:ascii="Times New Roman" w:hAnsi="Times New Roman" w:cs="Times New Roman"/>
          <w:sz w:val="24"/>
          <w:szCs w:val="24"/>
          <w:lang w:val="en-US"/>
        </w:rPr>
        <w:t xml:space="preserve">152, </w:t>
      </w:r>
      <w:r w:rsidR="00011F19" w:rsidRPr="00496F78">
        <w:rPr>
          <w:rStyle w:val="nlmfpage"/>
          <w:rFonts w:ascii="Times New Roman" w:hAnsi="Times New Roman" w:cs="Times New Roman"/>
          <w:sz w:val="24"/>
          <w:szCs w:val="24"/>
          <w:lang w:val="en-US"/>
        </w:rPr>
        <w:t>112</w:t>
      </w:r>
      <w:r w:rsidR="00011F19" w:rsidRPr="00496F78">
        <w:rPr>
          <w:rStyle w:val="balloon"/>
          <w:rFonts w:ascii="Times New Roman" w:hAnsi="Times New Roman" w:cs="Times New Roman"/>
          <w:sz w:val="24"/>
          <w:szCs w:val="24"/>
          <w:lang w:val="en-US"/>
        </w:rPr>
        <w:t>-</w:t>
      </w:r>
      <w:r w:rsidR="00011F19" w:rsidRPr="00496F78">
        <w:rPr>
          <w:rStyle w:val="nlmlpage"/>
          <w:rFonts w:ascii="Times New Roman" w:hAnsi="Times New Roman" w:cs="Times New Roman"/>
          <w:sz w:val="24"/>
          <w:szCs w:val="24"/>
          <w:lang w:val="en-US"/>
        </w:rPr>
        <w:t>130</w:t>
      </w:r>
      <w:r w:rsidR="00011F19" w:rsidRPr="00496F78">
        <w:rPr>
          <w:rStyle w:val="balloon"/>
          <w:rFonts w:ascii="Times New Roman" w:hAnsi="Times New Roman" w:cs="Times New Roman"/>
          <w:sz w:val="24"/>
          <w:szCs w:val="24"/>
          <w:lang w:val="en-US"/>
        </w:rPr>
        <w:t>.</w:t>
      </w:r>
    </w:p>
    <w:p w:rsidR="00DC5A74" w:rsidRPr="002F0EC7" w:rsidRDefault="0014677B" w:rsidP="005C7A9A">
      <w:pPr>
        <w:ind w:left="720" w:hanging="270"/>
        <w:jc w:val="both"/>
        <w:rPr>
          <w:rFonts w:ascii="Times New Roman" w:hAnsi="Times New Roman" w:cs="Times New Roman"/>
          <w:sz w:val="24"/>
          <w:szCs w:val="24"/>
          <w:lang w:val="en-GB"/>
        </w:rPr>
      </w:pPr>
      <w:r>
        <w:rPr>
          <w:rFonts w:ascii="Times New Roman" w:hAnsi="Times New Roman" w:cs="Times New Roman"/>
          <w:sz w:val="24"/>
          <w:szCs w:val="24"/>
          <w:lang w:val="en-GB"/>
        </w:rPr>
        <w:t>Bozbura</w:t>
      </w:r>
      <w:r w:rsidR="00DC5A74" w:rsidRPr="002F0EC7">
        <w:rPr>
          <w:rFonts w:ascii="Times New Roman" w:hAnsi="Times New Roman" w:cs="Times New Roman"/>
          <w:sz w:val="24"/>
          <w:szCs w:val="24"/>
          <w:lang w:val="en-GB"/>
        </w:rPr>
        <w:t xml:space="preserve"> F.T., Besk</w:t>
      </w:r>
      <w:r>
        <w:rPr>
          <w:rFonts w:ascii="Times New Roman" w:hAnsi="Times New Roman" w:cs="Times New Roman"/>
          <w:sz w:val="24"/>
          <w:szCs w:val="24"/>
          <w:lang w:val="en-GB"/>
        </w:rPr>
        <w:t xml:space="preserve">ese A., </w:t>
      </w:r>
      <w:r w:rsidR="003B1AF7">
        <w:rPr>
          <w:rFonts w:ascii="Times New Roman" w:hAnsi="Times New Roman" w:cs="Times New Roman"/>
          <w:sz w:val="24"/>
          <w:szCs w:val="24"/>
          <w:lang w:val="en-GB"/>
        </w:rPr>
        <w:t>Kahraman, C. (2007).</w:t>
      </w:r>
      <w:r w:rsidR="00DC5A74" w:rsidRPr="002F0EC7">
        <w:rPr>
          <w:rFonts w:ascii="Times New Roman" w:hAnsi="Times New Roman" w:cs="Times New Roman"/>
          <w:sz w:val="24"/>
          <w:szCs w:val="24"/>
          <w:lang w:val="en-GB"/>
        </w:rPr>
        <w:t xml:space="preserve"> </w:t>
      </w:r>
      <w:proofErr w:type="gramStart"/>
      <w:r w:rsidR="00DC5A74" w:rsidRPr="002F0EC7">
        <w:rPr>
          <w:rFonts w:ascii="Times New Roman" w:hAnsi="Times New Roman" w:cs="Times New Roman"/>
          <w:sz w:val="24"/>
          <w:szCs w:val="24"/>
          <w:lang w:val="en-GB"/>
        </w:rPr>
        <w:t>“Prioritization of human capital measurem</w:t>
      </w:r>
      <w:r w:rsidR="003B1AF7">
        <w:rPr>
          <w:rFonts w:ascii="Times New Roman" w:hAnsi="Times New Roman" w:cs="Times New Roman"/>
          <w:sz w:val="24"/>
          <w:szCs w:val="24"/>
          <w:lang w:val="en-GB"/>
        </w:rPr>
        <w:t>ent indicators using fuzzy AHP”.</w:t>
      </w:r>
      <w:proofErr w:type="gramEnd"/>
      <w:r w:rsidR="00DC5A74" w:rsidRPr="002F0EC7">
        <w:rPr>
          <w:rFonts w:ascii="Times New Roman" w:hAnsi="Times New Roman" w:cs="Times New Roman"/>
          <w:sz w:val="24"/>
          <w:szCs w:val="24"/>
          <w:lang w:val="en-GB"/>
        </w:rPr>
        <w:t xml:space="preserve"> </w:t>
      </w:r>
      <w:r w:rsidR="00DC5A74" w:rsidRPr="002F0EC7">
        <w:rPr>
          <w:rFonts w:ascii="Times New Roman" w:hAnsi="Times New Roman" w:cs="Times New Roman"/>
          <w:i/>
          <w:sz w:val="24"/>
          <w:szCs w:val="24"/>
          <w:lang w:val="en-GB"/>
        </w:rPr>
        <w:t>Expert Systems with Applications</w:t>
      </w:r>
      <w:r w:rsidR="00D542B9" w:rsidRPr="002F0EC7">
        <w:rPr>
          <w:rFonts w:ascii="Times New Roman" w:hAnsi="Times New Roman" w:cs="Times New Roman"/>
          <w:sz w:val="24"/>
          <w:szCs w:val="24"/>
          <w:lang w:val="en-GB"/>
        </w:rPr>
        <w:t xml:space="preserve">, </w:t>
      </w:r>
      <w:r w:rsidR="00DC5A74" w:rsidRPr="002F0EC7">
        <w:rPr>
          <w:rFonts w:ascii="Times New Roman" w:hAnsi="Times New Roman" w:cs="Times New Roman"/>
          <w:sz w:val="24"/>
          <w:szCs w:val="24"/>
          <w:lang w:val="en-GB"/>
        </w:rPr>
        <w:t>32</w:t>
      </w:r>
      <w:r w:rsidR="00D542B9" w:rsidRPr="002F0EC7">
        <w:rPr>
          <w:rFonts w:ascii="Times New Roman" w:hAnsi="Times New Roman" w:cs="Times New Roman"/>
          <w:sz w:val="24"/>
          <w:szCs w:val="24"/>
          <w:lang w:val="en-GB"/>
        </w:rPr>
        <w:t>(</w:t>
      </w:r>
      <w:r w:rsidR="00DC5A74" w:rsidRPr="002F0EC7">
        <w:rPr>
          <w:rFonts w:ascii="Times New Roman" w:hAnsi="Times New Roman" w:cs="Times New Roman"/>
          <w:sz w:val="24"/>
          <w:szCs w:val="24"/>
          <w:lang w:val="en-GB"/>
        </w:rPr>
        <w:t>4</w:t>
      </w:r>
      <w:r w:rsidR="00D542B9" w:rsidRPr="002F0EC7">
        <w:rPr>
          <w:rFonts w:ascii="Times New Roman" w:hAnsi="Times New Roman" w:cs="Times New Roman"/>
          <w:sz w:val="24"/>
          <w:szCs w:val="24"/>
          <w:lang w:val="en-GB"/>
        </w:rPr>
        <w:t>)</w:t>
      </w:r>
      <w:r w:rsidR="00DC5A74" w:rsidRPr="002F0EC7">
        <w:rPr>
          <w:rFonts w:ascii="Times New Roman" w:hAnsi="Times New Roman" w:cs="Times New Roman"/>
          <w:sz w:val="24"/>
          <w:szCs w:val="24"/>
          <w:lang w:val="en-GB"/>
        </w:rPr>
        <w:t>,</w:t>
      </w:r>
      <w:r w:rsidR="00D542B9" w:rsidRPr="002F0EC7">
        <w:rPr>
          <w:rFonts w:ascii="Times New Roman" w:hAnsi="Times New Roman" w:cs="Times New Roman"/>
          <w:sz w:val="24"/>
          <w:szCs w:val="24"/>
          <w:lang w:val="en-GB"/>
        </w:rPr>
        <w:t xml:space="preserve"> </w:t>
      </w:r>
      <w:r w:rsidR="00DC5A74" w:rsidRPr="002F0EC7">
        <w:rPr>
          <w:rFonts w:ascii="Times New Roman" w:hAnsi="Times New Roman" w:cs="Times New Roman"/>
          <w:sz w:val="24"/>
          <w:szCs w:val="24"/>
          <w:lang w:val="en-GB"/>
        </w:rPr>
        <w:t>1100-1112.</w:t>
      </w:r>
    </w:p>
    <w:p w:rsidR="002F0EC7" w:rsidRPr="001E7BAF" w:rsidRDefault="00B240E9" w:rsidP="005C7A9A">
      <w:pPr>
        <w:ind w:left="720" w:hanging="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Cabecinhas</w:t>
      </w:r>
      <w:r w:rsidR="002F0EC7" w:rsidRPr="002F0EC7">
        <w:rPr>
          <w:rFonts w:ascii="Times New Roman" w:hAnsi="Times New Roman" w:cs="Times New Roman"/>
          <w:sz w:val="24"/>
          <w:szCs w:val="24"/>
          <w:lang w:val="en-US"/>
        </w:rPr>
        <w:t xml:space="preserve"> M., Domingues, P., Sampaio, P., Bernandes, M., Franceschini, F., Galetto, M., Gianni, M., Gotzamani, K., Mastrogiacomo, L., Hernandez-Vivanco,</w:t>
      </w:r>
      <w:r w:rsidR="003B1AF7">
        <w:rPr>
          <w:rFonts w:ascii="Times New Roman" w:hAnsi="Times New Roman" w:cs="Times New Roman"/>
          <w:sz w:val="24"/>
          <w:szCs w:val="24"/>
          <w:lang w:val="en-US"/>
        </w:rPr>
        <w:t xml:space="preserve"> A. (2018).</w:t>
      </w:r>
      <w:proofErr w:type="gramEnd"/>
      <w:r w:rsidR="002F0EC7" w:rsidRPr="002F0EC7">
        <w:rPr>
          <w:rFonts w:ascii="Times New Roman" w:hAnsi="Times New Roman" w:cs="Times New Roman"/>
          <w:sz w:val="24"/>
          <w:szCs w:val="24"/>
          <w:lang w:val="en-US"/>
        </w:rPr>
        <w:t xml:space="preserve"> “Integrated management systems diffusion mode</w:t>
      </w:r>
      <w:r w:rsidR="003B1AF7">
        <w:rPr>
          <w:rFonts w:ascii="Times New Roman" w:hAnsi="Times New Roman" w:cs="Times New Roman"/>
          <w:sz w:val="24"/>
          <w:szCs w:val="24"/>
          <w:lang w:val="en-US"/>
        </w:rPr>
        <w:t>ls in South European countries”.</w:t>
      </w:r>
      <w:r w:rsidR="002F0EC7" w:rsidRPr="002F0EC7">
        <w:rPr>
          <w:rFonts w:ascii="Times New Roman" w:hAnsi="Times New Roman" w:cs="Times New Roman"/>
          <w:sz w:val="24"/>
          <w:szCs w:val="24"/>
          <w:lang w:val="en-US"/>
        </w:rPr>
        <w:t xml:space="preserve"> </w:t>
      </w:r>
      <w:r w:rsidR="002F0EC7" w:rsidRPr="001E7BAF">
        <w:rPr>
          <w:rFonts w:ascii="Times New Roman" w:hAnsi="Times New Roman" w:cs="Times New Roman"/>
          <w:i/>
          <w:sz w:val="24"/>
          <w:szCs w:val="24"/>
          <w:lang w:val="en-US"/>
        </w:rPr>
        <w:t xml:space="preserve">International </w:t>
      </w:r>
      <w:r w:rsidR="002F0EC7" w:rsidRPr="001E7BAF">
        <w:rPr>
          <w:rFonts w:ascii="Times New Roman" w:hAnsi="Times New Roman" w:cs="Times New Roman"/>
          <w:i/>
          <w:iCs/>
          <w:sz w:val="24"/>
          <w:szCs w:val="24"/>
          <w:lang w:val="en-US"/>
        </w:rPr>
        <w:t>Journal of Quality and Reliability Management</w:t>
      </w:r>
      <w:r w:rsidR="003B1AF7">
        <w:rPr>
          <w:rFonts w:ascii="Times New Roman" w:hAnsi="Times New Roman" w:cs="Times New Roman"/>
          <w:sz w:val="24"/>
          <w:szCs w:val="24"/>
          <w:lang w:val="en-US"/>
        </w:rPr>
        <w:t>, 35(</w:t>
      </w:r>
      <w:r w:rsidR="002F0EC7" w:rsidRPr="001E7BAF">
        <w:rPr>
          <w:rFonts w:ascii="Times New Roman" w:hAnsi="Times New Roman" w:cs="Times New Roman"/>
          <w:sz w:val="24"/>
          <w:szCs w:val="24"/>
          <w:lang w:val="en-US"/>
        </w:rPr>
        <w:t>10</w:t>
      </w:r>
      <w:r w:rsidR="003B1AF7">
        <w:rPr>
          <w:rFonts w:ascii="Times New Roman" w:hAnsi="Times New Roman" w:cs="Times New Roman"/>
          <w:sz w:val="24"/>
          <w:szCs w:val="24"/>
          <w:lang w:val="en-US"/>
        </w:rPr>
        <w:t>)</w:t>
      </w:r>
      <w:r w:rsidR="002F0EC7" w:rsidRPr="001E7BAF">
        <w:rPr>
          <w:rFonts w:ascii="Times New Roman" w:hAnsi="Times New Roman" w:cs="Times New Roman"/>
          <w:sz w:val="24"/>
          <w:szCs w:val="24"/>
          <w:lang w:val="en-US"/>
        </w:rPr>
        <w:t>,</w:t>
      </w:r>
      <w:r w:rsidR="003B1AF7">
        <w:rPr>
          <w:rFonts w:ascii="Times New Roman" w:hAnsi="Times New Roman" w:cs="Times New Roman"/>
          <w:sz w:val="24"/>
          <w:szCs w:val="24"/>
          <w:lang w:val="en-US"/>
        </w:rPr>
        <w:t xml:space="preserve"> </w:t>
      </w:r>
      <w:r w:rsidR="002F0EC7" w:rsidRPr="001E7BAF">
        <w:rPr>
          <w:rFonts w:ascii="Times New Roman" w:hAnsi="Times New Roman" w:cs="Times New Roman"/>
          <w:sz w:val="24"/>
          <w:szCs w:val="24"/>
          <w:lang w:val="en-US"/>
        </w:rPr>
        <w:t>2289-2303.</w:t>
      </w:r>
    </w:p>
    <w:p w:rsidR="00F61BE5" w:rsidRPr="001E7BAF" w:rsidRDefault="00F61BE5" w:rsidP="005C7A9A">
      <w:pPr>
        <w:tabs>
          <w:tab w:val="left" w:pos="284"/>
        </w:tabs>
        <w:ind w:left="720" w:hanging="270"/>
        <w:jc w:val="both"/>
        <w:rPr>
          <w:rFonts w:ascii="Times New Roman" w:hAnsi="Times New Roman" w:cs="Times New Roman"/>
          <w:sz w:val="24"/>
          <w:szCs w:val="24"/>
          <w:lang w:val="en-US"/>
        </w:rPr>
      </w:pPr>
      <w:r w:rsidRPr="001E7BAF">
        <w:rPr>
          <w:rFonts w:ascii="Times New Roman" w:hAnsi="Times New Roman" w:cs="Times New Roman"/>
          <w:sz w:val="24"/>
          <w:szCs w:val="24"/>
          <w:lang w:val="en-US"/>
        </w:rPr>
        <w:t>Ca</w:t>
      </w:r>
      <w:r w:rsidR="00B240E9">
        <w:rPr>
          <w:rFonts w:ascii="Times New Roman" w:hAnsi="Times New Roman" w:cs="Times New Roman"/>
          <w:sz w:val="24"/>
          <w:szCs w:val="24"/>
          <w:lang w:val="en-US"/>
        </w:rPr>
        <w:t>stka P.,</w:t>
      </w:r>
      <w:r w:rsidR="003B1AF7">
        <w:rPr>
          <w:rFonts w:ascii="Times New Roman" w:hAnsi="Times New Roman" w:cs="Times New Roman"/>
          <w:sz w:val="24"/>
          <w:szCs w:val="24"/>
          <w:lang w:val="en-US"/>
        </w:rPr>
        <w:t xml:space="preserve"> Prajogo, D. (2013).</w:t>
      </w:r>
      <w:r w:rsidRPr="001E7BAF">
        <w:rPr>
          <w:rFonts w:ascii="Times New Roman" w:hAnsi="Times New Roman" w:cs="Times New Roman"/>
          <w:sz w:val="24"/>
          <w:szCs w:val="24"/>
          <w:lang w:val="en-US"/>
        </w:rPr>
        <w:t xml:space="preserve"> </w:t>
      </w:r>
      <w:proofErr w:type="gramStart"/>
      <w:r w:rsidRPr="001E7BAF">
        <w:rPr>
          <w:rFonts w:ascii="Times New Roman" w:hAnsi="Times New Roman" w:cs="Times New Roman"/>
          <w:sz w:val="24"/>
          <w:szCs w:val="24"/>
          <w:lang w:val="en-US"/>
        </w:rPr>
        <w:t>“The effect of pressure from secondary stakeholders on th</w:t>
      </w:r>
      <w:r w:rsidR="003B1AF7">
        <w:rPr>
          <w:rFonts w:ascii="Times New Roman" w:hAnsi="Times New Roman" w:cs="Times New Roman"/>
          <w:sz w:val="24"/>
          <w:szCs w:val="24"/>
          <w:lang w:val="en-US"/>
        </w:rPr>
        <w:t>e internalization of ISO 14001”.</w:t>
      </w:r>
      <w:proofErr w:type="gramEnd"/>
      <w:r w:rsidRPr="001E7BAF">
        <w:rPr>
          <w:rFonts w:ascii="Times New Roman" w:hAnsi="Times New Roman" w:cs="Times New Roman"/>
          <w:sz w:val="24"/>
          <w:szCs w:val="24"/>
          <w:lang w:val="en-US"/>
        </w:rPr>
        <w:t xml:space="preserve"> </w:t>
      </w:r>
      <w:r w:rsidRPr="001E7BAF">
        <w:rPr>
          <w:rFonts w:ascii="Times New Roman" w:hAnsi="Times New Roman" w:cs="Times New Roman"/>
          <w:i/>
          <w:sz w:val="24"/>
          <w:szCs w:val="24"/>
          <w:lang w:val="en-US"/>
        </w:rPr>
        <w:t>Journal of Cleaner Production</w:t>
      </w:r>
      <w:r w:rsidRPr="001E7BAF">
        <w:rPr>
          <w:rFonts w:ascii="Times New Roman" w:hAnsi="Times New Roman" w:cs="Times New Roman"/>
          <w:sz w:val="24"/>
          <w:szCs w:val="24"/>
          <w:lang w:val="en-US"/>
        </w:rPr>
        <w:t>, 47, 245-252.</w:t>
      </w:r>
    </w:p>
    <w:p w:rsidR="001E7BAF" w:rsidRPr="001E7BAF" w:rsidRDefault="00B240E9" w:rsidP="005C7A9A">
      <w:pPr>
        <w:tabs>
          <w:tab w:val="left" w:pos="284"/>
        </w:tabs>
        <w:ind w:left="720" w:hanging="270"/>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Cronbach L.</w:t>
      </w:r>
      <w:r w:rsidR="001E7BAF" w:rsidRPr="00496F78">
        <w:rPr>
          <w:rFonts w:ascii="Times New Roman" w:hAnsi="Times New Roman" w:cs="Times New Roman"/>
          <w:sz w:val="24"/>
          <w:szCs w:val="24"/>
          <w:lang w:val="en-US"/>
        </w:rPr>
        <w:t>J. (1951</w:t>
      </w:r>
      <w:r w:rsidR="003B1AF7">
        <w:rPr>
          <w:rFonts w:ascii="Times New Roman" w:hAnsi="Times New Roman" w:cs="Times New Roman"/>
          <w:sz w:val="24"/>
          <w:szCs w:val="24"/>
          <w:lang w:val="en-US"/>
        </w:rPr>
        <w:t>).</w:t>
      </w:r>
      <w:r w:rsidR="001E7BAF" w:rsidRPr="001E7BAF">
        <w:rPr>
          <w:rFonts w:ascii="Times New Roman" w:hAnsi="Times New Roman" w:cs="Times New Roman"/>
          <w:sz w:val="24"/>
          <w:szCs w:val="24"/>
          <w:lang w:val="en-US"/>
        </w:rPr>
        <w:t xml:space="preserve"> </w:t>
      </w:r>
      <w:proofErr w:type="gramStart"/>
      <w:r w:rsidR="001E7BAF" w:rsidRPr="001E7BAF">
        <w:rPr>
          <w:rFonts w:ascii="Times New Roman" w:hAnsi="Times New Roman" w:cs="Times New Roman"/>
          <w:sz w:val="24"/>
          <w:szCs w:val="24"/>
          <w:lang w:val="en-US"/>
        </w:rPr>
        <w:t>“</w:t>
      </w:r>
      <w:r w:rsidR="001E7BAF" w:rsidRPr="00496F78">
        <w:rPr>
          <w:rFonts w:ascii="Times New Roman" w:hAnsi="Times New Roman" w:cs="Times New Roman"/>
          <w:sz w:val="24"/>
          <w:szCs w:val="24"/>
          <w:lang w:val="en-US"/>
        </w:rPr>
        <w:t>Coefficient alpha and the internal structure of a test</w:t>
      </w:r>
      <w:r w:rsidR="003B1AF7">
        <w:rPr>
          <w:rFonts w:ascii="Times New Roman" w:hAnsi="Times New Roman" w:cs="Times New Roman"/>
          <w:sz w:val="24"/>
          <w:szCs w:val="24"/>
          <w:lang w:val="en-US"/>
        </w:rPr>
        <w:t>”.</w:t>
      </w:r>
      <w:proofErr w:type="gramEnd"/>
      <w:r w:rsidR="001E7BAF" w:rsidRPr="001E7BAF">
        <w:rPr>
          <w:rFonts w:ascii="Times New Roman" w:hAnsi="Times New Roman" w:cs="Times New Roman"/>
          <w:sz w:val="24"/>
          <w:szCs w:val="24"/>
          <w:lang w:val="en-US"/>
        </w:rPr>
        <w:t xml:space="preserve"> </w:t>
      </w:r>
      <w:r w:rsidR="001E7BAF" w:rsidRPr="00496F78">
        <w:rPr>
          <w:rFonts w:ascii="Times New Roman" w:hAnsi="Times New Roman" w:cs="Times New Roman"/>
          <w:i/>
          <w:sz w:val="24"/>
          <w:szCs w:val="24"/>
          <w:lang w:val="en-US"/>
        </w:rPr>
        <w:t>Psychometrika</w:t>
      </w:r>
      <w:r w:rsidR="001E7BAF" w:rsidRPr="00496F78">
        <w:rPr>
          <w:rFonts w:ascii="Times New Roman" w:hAnsi="Times New Roman" w:cs="Times New Roman"/>
          <w:sz w:val="24"/>
          <w:szCs w:val="24"/>
          <w:lang w:val="en-US"/>
        </w:rPr>
        <w:t>,</w:t>
      </w:r>
      <w:r w:rsidR="001E7BAF" w:rsidRPr="001E7BAF">
        <w:rPr>
          <w:rFonts w:ascii="Times New Roman" w:hAnsi="Times New Roman" w:cs="Times New Roman"/>
          <w:sz w:val="24"/>
          <w:szCs w:val="24"/>
          <w:lang w:val="en-US"/>
        </w:rPr>
        <w:t xml:space="preserve"> </w:t>
      </w:r>
      <w:r w:rsidR="001E7BAF" w:rsidRPr="00496F78">
        <w:rPr>
          <w:rFonts w:ascii="Times New Roman" w:hAnsi="Times New Roman" w:cs="Times New Roman"/>
          <w:sz w:val="24"/>
          <w:szCs w:val="24"/>
          <w:lang w:val="en-US"/>
        </w:rPr>
        <w:t>16,</w:t>
      </w:r>
      <w:r w:rsidR="001E7BAF" w:rsidRPr="001E7BAF">
        <w:rPr>
          <w:rFonts w:ascii="Times New Roman" w:hAnsi="Times New Roman" w:cs="Times New Roman"/>
          <w:sz w:val="24"/>
          <w:szCs w:val="24"/>
          <w:lang w:val="en-US"/>
        </w:rPr>
        <w:t xml:space="preserve"> </w:t>
      </w:r>
      <w:r w:rsidR="001E7BAF" w:rsidRPr="00496F78">
        <w:rPr>
          <w:rFonts w:ascii="Times New Roman" w:hAnsi="Times New Roman" w:cs="Times New Roman"/>
          <w:sz w:val="24"/>
          <w:szCs w:val="24"/>
          <w:lang w:val="en-US"/>
        </w:rPr>
        <w:t>297</w:t>
      </w:r>
      <w:r w:rsidR="001E7BAF" w:rsidRPr="001E7BAF">
        <w:rPr>
          <w:rFonts w:ascii="Times New Roman" w:hAnsi="Times New Roman" w:cs="Times New Roman"/>
          <w:sz w:val="24"/>
          <w:szCs w:val="24"/>
          <w:lang w:val="en-US"/>
        </w:rPr>
        <w:t>-3</w:t>
      </w:r>
      <w:r w:rsidR="00FB659D" w:rsidRPr="00496F78">
        <w:rPr>
          <w:rFonts w:ascii="Times New Roman" w:hAnsi="Times New Roman" w:cs="Times New Roman"/>
          <w:sz w:val="24"/>
          <w:szCs w:val="24"/>
          <w:lang w:val="en-US"/>
        </w:rPr>
        <w:t>3</w:t>
      </w:r>
      <w:r w:rsidR="00FB659D" w:rsidRPr="00FB659D">
        <w:rPr>
          <w:rFonts w:ascii="Times New Roman" w:hAnsi="Times New Roman" w:cs="Times New Roman"/>
          <w:sz w:val="24"/>
          <w:szCs w:val="24"/>
          <w:lang w:val="en-US"/>
        </w:rPr>
        <w:t>4</w:t>
      </w:r>
      <w:r w:rsidR="001E7BAF" w:rsidRPr="001E7BAF">
        <w:rPr>
          <w:rFonts w:ascii="Times New Roman" w:hAnsi="Times New Roman" w:cs="Times New Roman"/>
          <w:sz w:val="24"/>
          <w:szCs w:val="24"/>
          <w:lang w:val="en-US"/>
        </w:rPr>
        <w:t>.</w:t>
      </w:r>
    </w:p>
    <w:p w:rsidR="002F0EC7" w:rsidRPr="001E7BAF" w:rsidRDefault="00B240E9" w:rsidP="005C7A9A">
      <w:pPr>
        <w:ind w:left="720" w:hanging="270"/>
        <w:jc w:val="both"/>
        <w:rPr>
          <w:rFonts w:ascii="Times New Roman" w:hAnsi="Times New Roman" w:cs="Times New Roman"/>
          <w:sz w:val="24"/>
          <w:szCs w:val="24"/>
          <w:lang w:val="en-US"/>
        </w:rPr>
      </w:pPr>
      <w:r>
        <w:rPr>
          <w:rFonts w:ascii="Times New Roman" w:hAnsi="Times New Roman" w:cs="Times New Roman"/>
          <w:sz w:val="24"/>
          <w:szCs w:val="24"/>
          <w:lang w:val="en-US"/>
        </w:rPr>
        <w:t>Domingues</w:t>
      </w:r>
      <w:r w:rsidR="002F0EC7" w:rsidRPr="001E7BAF">
        <w:rPr>
          <w:rFonts w:ascii="Times New Roman" w:hAnsi="Times New Roman" w:cs="Times New Roman"/>
          <w:sz w:val="24"/>
          <w:szCs w:val="24"/>
          <w:lang w:val="en-US"/>
        </w:rPr>
        <w:t xml:space="preserve"> P., Samp</w:t>
      </w:r>
      <w:r>
        <w:rPr>
          <w:rFonts w:ascii="Times New Roman" w:hAnsi="Times New Roman" w:cs="Times New Roman"/>
          <w:sz w:val="24"/>
          <w:szCs w:val="24"/>
          <w:lang w:val="en-US"/>
        </w:rPr>
        <w:t>aio P., Arezes</w:t>
      </w:r>
      <w:r w:rsidR="0014677B">
        <w:rPr>
          <w:rFonts w:ascii="Times New Roman" w:hAnsi="Times New Roman" w:cs="Times New Roman"/>
          <w:sz w:val="24"/>
          <w:szCs w:val="24"/>
          <w:lang w:val="en-US"/>
        </w:rPr>
        <w:t xml:space="preserve"> P.M. (2016).</w:t>
      </w:r>
      <w:r w:rsidR="002F0EC7" w:rsidRPr="001E7BAF">
        <w:rPr>
          <w:rFonts w:ascii="Times New Roman" w:hAnsi="Times New Roman" w:cs="Times New Roman"/>
          <w:sz w:val="24"/>
          <w:szCs w:val="24"/>
          <w:lang w:val="en-US"/>
        </w:rPr>
        <w:t xml:space="preserve"> </w:t>
      </w:r>
      <w:proofErr w:type="gramStart"/>
      <w:r w:rsidR="002F0EC7" w:rsidRPr="001E7BAF">
        <w:rPr>
          <w:rFonts w:ascii="Times New Roman" w:hAnsi="Times New Roman" w:cs="Times New Roman"/>
          <w:sz w:val="24"/>
          <w:szCs w:val="24"/>
          <w:lang w:val="en-US"/>
        </w:rPr>
        <w:t>“Integrated management systems assessm</w:t>
      </w:r>
      <w:r w:rsidR="0014677B">
        <w:rPr>
          <w:rFonts w:ascii="Times New Roman" w:hAnsi="Times New Roman" w:cs="Times New Roman"/>
          <w:sz w:val="24"/>
          <w:szCs w:val="24"/>
          <w:lang w:val="en-US"/>
        </w:rPr>
        <w:t>ent: a maturity model proposal”.</w:t>
      </w:r>
      <w:proofErr w:type="gramEnd"/>
      <w:r w:rsidR="002F0EC7" w:rsidRPr="001E7BAF">
        <w:rPr>
          <w:rFonts w:ascii="Times New Roman" w:hAnsi="Times New Roman" w:cs="Times New Roman"/>
          <w:sz w:val="24"/>
          <w:szCs w:val="24"/>
          <w:lang w:val="en-US"/>
        </w:rPr>
        <w:t xml:space="preserve"> </w:t>
      </w:r>
      <w:r w:rsidR="002F0EC7" w:rsidRPr="001E7BAF">
        <w:rPr>
          <w:rFonts w:ascii="Times New Roman" w:hAnsi="Times New Roman" w:cs="Times New Roman"/>
          <w:i/>
          <w:sz w:val="24"/>
          <w:szCs w:val="24"/>
          <w:lang w:val="en-US"/>
        </w:rPr>
        <w:t>Journal of Cleaner Production</w:t>
      </w:r>
      <w:r w:rsidR="0014677B">
        <w:rPr>
          <w:rFonts w:ascii="Times New Roman" w:hAnsi="Times New Roman" w:cs="Times New Roman"/>
          <w:sz w:val="24"/>
          <w:szCs w:val="24"/>
          <w:lang w:val="en-US"/>
        </w:rPr>
        <w:t xml:space="preserve">, </w:t>
      </w:r>
      <w:r w:rsidR="002F0EC7" w:rsidRPr="001E7BAF">
        <w:rPr>
          <w:rFonts w:ascii="Times New Roman" w:hAnsi="Times New Roman" w:cs="Times New Roman"/>
          <w:sz w:val="24"/>
          <w:szCs w:val="24"/>
          <w:lang w:val="en-US"/>
        </w:rPr>
        <w:t>12</w:t>
      </w:r>
      <w:r w:rsidR="0014677B">
        <w:rPr>
          <w:rFonts w:ascii="Times New Roman" w:hAnsi="Times New Roman" w:cs="Times New Roman"/>
          <w:sz w:val="24"/>
          <w:szCs w:val="24"/>
          <w:lang w:val="en-US"/>
        </w:rPr>
        <w:t xml:space="preserve">4, </w:t>
      </w:r>
      <w:r w:rsidR="002F0EC7" w:rsidRPr="001E7BAF">
        <w:rPr>
          <w:rFonts w:ascii="Times New Roman" w:hAnsi="Times New Roman" w:cs="Times New Roman"/>
          <w:sz w:val="24"/>
          <w:szCs w:val="24"/>
          <w:lang w:val="en-US"/>
        </w:rPr>
        <w:t>164-174.</w:t>
      </w:r>
    </w:p>
    <w:p w:rsidR="00732D26" w:rsidRPr="00732D26" w:rsidRDefault="00B240E9" w:rsidP="005C7A9A">
      <w:pPr>
        <w:ind w:left="720" w:hanging="270"/>
        <w:jc w:val="both"/>
        <w:rPr>
          <w:rFonts w:ascii="Times New Roman" w:hAnsi="Times New Roman" w:cs="Times New Roman"/>
          <w:sz w:val="24"/>
          <w:szCs w:val="24"/>
          <w:lang w:val="en-GB"/>
        </w:rPr>
      </w:pPr>
      <w:r>
        <w:rPr>
          <w:rFonts w:ascii="Times New Roman" w:hAnsi="Times New Roman" w:cs="Times New Roman"/>
          <w:sz w:val="24"/>
          <w:szCs w:val="24"/>
          <w:lang w:val="en-GB"/>
        </w:rPr>
        <w:t>Dyllick T., Muff K. (2016).</w:t>
      </w:r>
      <w:r w:rsidR="00732D26" w:rsidRPr="002F0EC7">
        <w:rPr>
          <w:rFonts w:ascii="Times New Roman" w:hAnsi="Times New Roman" w:cs="Times New Roman"/>
          <w:sz w:val="24"/>
          <w:szCs w:val="24"/>
          <w:lang w:val="en-GB"/>
        </w:rPr>
        <w:t xml:space="preserve"> </w:t>
      </w:r>
      <w:proofErr w:type="gramStart"/>
      <w:r w:rsidR="00732D26" w:rsidRPr="002F0EC7">
        <w:rPr>
          <w:rFonts w:ascii="Times New Roman" w:hAnsi="Times New Roman" w:cs="Times New Roman"/>
          <w:sz w:val="24"/>
          <w:szCs w:val="24"/>
          <w:lang w:val="en-GB"/>
        </w:rPr>
        <w:t>“Clarifying the meaning of sustainable business: Introducing</w:t>
      </w:r>
      <w:r w:rsidR="00732D26" w:rsidRPr="00732D26">
        <w:rPr>
          <w:rFonts w:ascii="Times New Roman" w:hAnsi="Times New Roman" w:cs="Times New Roman"/>
          <w:sz w:val="24"/>
          <w:szCs w:val="24"/>
          <w:lang w:val="en-GB"/>
        </w:rPr>
        <w:t xml:space="preserve"> a typology from business-as-usual t</w:t>
      </w:r>
      <w:r>
        <w:rPr>
          <w:rFonts w:ascii="Times New Roman" w:hAnsi="Times New Roman" w:cs="Times New Roman"/>
          <w:sz w:val="24"/>
          <w:szCs w:val="24"/>
          <w:lang w:val="en-GB"/>
        </w:rPr>
        <w:t>o true business sustainability”.</w:t>
      </w:r>
      <w:proofErr w:type="gramEnd"/>
      <w:r w:rsidR="00732D26" w:rsidRPr="00732D26">
        <w:rPr>
          <w:rFonts w:ascii="Times New Roman" w:hAnsi="Times New Roman" w:cs="Times New Roman"/>
          <w:sz w:val="24"/>
          <w:szCs w:val="24"/>
          <w:lang w:val="en-GB"/>
        </w:rPr>
        <w:t xml:space="preserve"> </w:t>
      </w:r>
      <w:r w:rsidR="00732D26" w:rsidRPr="00732D26">
        <w:rPr>
          <w:rFonts w:ascii="Times New Roman" w:hAnsi="Times New Roman" w:cs="Times New Roman"/>
          <w:i/>
          <w:sz w:val="24"/>
          <w:szCs w:val="24"/>
          <w:lang w:val="en-GB"/>
        </w:rPr>
        <w:t>Organization &amp; Environment</w:t>
      </w:r>
      <w:r w:rsidR="00732D26" w:rsidRPr="00732D26">
        <w:rPr>
          <w:rFonts w:ascii="Times New Roman" w:hAnsi="Times New Roman" w:cs="Times New Roman"/>
          <w:sz w:val="24"/>
          <w:szCs w:val="24"/>
          <w:lang w:val="en-GB"/>
        </w:rPr>
        <w:t>, 29(2), 156-174.</w:t>
      </w:r>
    </w:p>
    <w:p w:rsidR="00F423E8" w:rsidRPr="008751F4" w:rsidRDefault="00B240E9" w:rsidP="005C7A9A">
      <w:pPr>
        <w:ind w:left="720" w:hanging="270"/>
        <w:jc w:val="both"/>
        <w:rPr>
          <w:rFonts w:ascii="Times New Roman" w:hAnsi="Times New Roman" w:cs="Times New Roman"/>
          <w:sz w:val="24"/>
          <w:szCs w:val="24"/>
          <w:lang w:val="en-GB"/>
        </w:rPr>
      </w:pPr>
      <w:r>
        <w:rPr>
          <w:rFonts w:ascii="Times New Roman" w:hAnsi="Times New Roman" w:cs="Times New Roman"/>
          <w:sz w:val="24"/>
          <w:szCs w:val="24"/>
          <w:lang w:val="en-GB"/>
        </w:rPr>
        <w:t>Elkington J. (1997).</w:t>
      </w:r>
      <w:r w:rsidR="00F423E8" w:rsidRPr="00732D26">
        <w:rPr>
          <w:rFonts w:ascii="Times New Roman" w:hAnsi="Times New Roman" w:cs="Times New Roman"/>
          <w:sz w:val="24"/>
          <w:szCs w:val="24"/>
          <w:lang w:val="en-GB"/>
        </w:rPr>
        <w:t xml:space="preserve"> “</w:t>
      </w:r>
      <w:r w:rsidR="00F423E8" w:rsidRPr="00732D26">
        <w:rPr>
          <w:rFonts w:ascii="Times New Roman" w:hAnsi="Times New Roman" w:cs="Times New Roman"/>
          <w:i/>
          <w:iCs/>
          <w:sz w:val="24"/>
          <w:szCs w:val="24"/>
          <w:lang w:val="en-GB"/>
        </w:rPr>
        <w:t>Cannibals with forks: the triple bottom line of 21</w:t>
      </w:r>
      <w:r w:rsidR="00F423E8" w:rsidRPr="00732D26">
        <w:rPr>
          <w:rFonts w:ascii="Times New Roman" w:hAnsi="Times New Roman" w:cs="Times New Roman"/>
          <w:i/>
          <w:iCs/>
          <w:sz w:val="24"/>
          <w:szCs w:val="24"/>
          <w:vertAlign w:val="superscript"/>
          <w:lang w:val="en-GB"/>
        </w:rPr>
        <w:t>st</w:t>
      </w:r>
      <w:r w:rsidR="00F423E8" w:rsidRPr="00732D26">
        <w:rPr>
          <w:rFonts w:ascii="Times New Roman" w:hAnsi="Times New Roman" w:cs="Times New Roman"/>
          <w:i/>
          <w:iCs/>
          <w:sz w:val="24"/>
          <w:szCs w:val="24"/>
          <w:lang w:val="en-GB"/>
        </w:rPr>
        <w:t xml:space="preserve"> century</w:t>
      </w:r>
      <w:r w:rsidR="00F423E8" w:rsidRPr="008751F4">
        <w:rPr>
          <w:rFonts w:ascii="Times New Roman" w:hAnsi="Times New Roman" w:cs="Times New Roman"/>
          <w:i/>
          <w:iCs/>
          <w:sz w:val="24"/>
          <w:szCs w:val="24"/>
          <w:lang w:val="en-GB"/>
        </w:rPr>
        <w:t xml:space="preserve"> business</w:t>
      </w:r>
      <w:r>
        <w:rPr>
          <w:rFonts w:ascii="Times New Roman" w:hAnsi="Times New Roman" w:cs="Times New Roman"/>
          <w:sz w:val="24"/>
          <w:szCs w:val="24"/>
          <w:lang w:val="en-GB"/>
        </w:rPr>
        <w:t>”.</w:t>
      </w:r>
      <w:r w:rsidR="00F423E8" w:rsidRPr="008751F4">
        <w:rPr>
          <w:rFonts w:ascii="Times New Roman" w:hAnsi="Times New Roman" w:cs="Times New Roman"/>
          <w:sz w:val="24"/>
          <w:szCs w:val="24"/>
          <w:lang w:val="en-GB"/>
        </w:rPr>
        <w:t xml:space="preserve"> Capstone Publishing Limited, UK.</w:t>
      </w:r>
    </w:p>
    <w:p w:rsidR="00D737F7" w:rsidRPr="00496F78" w:rsidRDefault="00B240E9" w:rsidP="005C7A9A">
      <w:pPr>
        <w:tabs>
          <w:tab w:val="left" w:pos="1080"/>
        </w:tabs>
        <w:ind w:left="720" w:hanging="27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GB"/>
        </w:rPr>
        <w:lastRenderedPageBreak/>
        <w:t>Epstein M.J., Roy, M.-J. (2001).</w:t>
      </w:r>
      <w:r w:rsidR="00DC5A74" w:rsidRPr="008751F4">
        <w:rPr>
          <w:rFonts w:ascii="Times New Roman" w:eastAsia="Times New Roman" w:hAnsi="Times New Roman" w:cs="Times New Roman"/>
          <w:sz w:val="24"/>
          <w:szCs w:val="24"/>
          <w:lang w:val="en-GB"/>
        </w:rPr>
        <w:t xml:space="preserve"> “Sustainability in action: Identifying and measuri</w:t>
      </w:r>
      <w:r>
        <w:rPr>
          <w:rFonts w:ascii="Times New Roman" w:eastAsia="Times New Roman" w:hAnsi="Times New Roman" w:cs="Times New Roman"/>
          <w:sz w:val="24"/>
          <w:szCs w:val="24"/>
          <w:lang w:val="en-GB"/>
        </w:rPr>
        <w:t>ng the key performance drivers”.</w:t>
      </w:r>
      <w:r w:rsidR="00DC5A74" w:rsidRPr="008751F4">
        <w:rPr>
          <w:rFonts w:ascii="Times New Roman" w:eastAsia="Times New Roman" w:hAnsi="Times New Roman" w:cs="Times New Roman"/>
          <w:sz w:val="24"/>
          <w:szCs w:val="24"/>
          <w:lang w:val="en-GB"/>
        </w:rPr>
        <w:t xml:space="preserve"> </w:t>
      </w:r>
      <w:r w:rsidR="00DC5A74" w:rsidRPr="008751F4">
        <w:rPr>
          <w:rFonts w:ascii="Times New Roman" w:eastAsia="Times New Roman" w:hAnsi="Times New Roman" w:cs="Times New Roman"/>
          <w:i/>
          <w:sz w:val="24"/>
          <w:szCs w:val="24"/>
          <w:lang w:val="en-GB"/>
        </w:rPr>
        <w:t>Long Range Planning</w:t>
      </w:r>
      <w:r w:rsidR="00D542B9">
        <w:rPr>
          <w:rFonts w:ascii="Times New Roman" w:eastAsia="Times New Roman" w:hAnsi="Times New Roman" w:cs="Times New Roman"/>
          <w:sz w:val="24"/>
          <w:szCs w:val="24"/>
          <w:lang w:val="en-GB"/>
        </w:rPr>
        <w:t>, 34(</w:t>
      </w:r>
      <w:r w:rsidR="00DC5A74" w:rsidRPr="008751F4">
        <w:rPr>
          <w:rFonts w:ascii="Times New Roman" w:eastAsia="Times New Roman" w:hAnsi="Times New Roman" w:cs="Times New Roman"/>
          <w:sz w:val="24"/>
          <w:szCs w:val="24"/>
          <w:lang w:val="en-GB"/>
        </w:rPr>
        <w:t>5</w:t>
      </w:r>
      <w:r w:rsidR="00D542B9">
        <w:rPr>
          <w:rFonts w:ascii="Times New Roman" w:eastAsia="Times New Roman" w:hAnsi="Times New Roman" w:cs="Times New Roman"/>
          <w:sz w:val="24"/>
          <w:szCs w:val="24"/>
          <w:lang w:val="en-GB"/>
        </w:rPr>
        <w:t>)</w:t>
      </w:r>
      <w:r w:rsidR="00DC5A74" w:rsidRPr="008751F4">
        <w:rPr>
          <w:rFonts w:ascii="Times New Roman" w:eastAsia="Times New Roman" w:hAnsi="Times New Roman" w:cs="Times New Roman"/>
          <w:sz w:val="24"/>
          <w:szCs w:val="24"/>
          <w:lang w:val="en-GB"/>
        </w:rPr>
        <w:t>, 585-604.</w:t>
      </w:r>
    </w:p>
    <w:p w:rsidR="005C43D5" w:rsidRPr="00496F78" w:rsidRDefault="005C43D5" w:rsidP="005C7A9A">
      <w:pPr>
        <w:tabs>
          <w:tab w:val="left" w:pos="1080"/>
        </w:tabs>
        <w:ind w:left="720" w:hanging="270"/>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Escri</w:t>
      </w:r>
      <w:r w:rsidR="00C51634" w:rsidRPr="00496F78">
        <w:rPr>
          <w:rFonts w:ascii="Times New Roman" w:hAnsi="Times New Roman" w:cs="Times New Roman"/>
          <w:sz w:val="24"/>
          <w:szCs w:val="24"/>
          <w:lang w:val="en-US"/>
        </w:rPr>
        <w:t>g-Tena A.B., Garcia-Juan B., Segarra-Ciprés M. (2019).</w:t>
      </w:r>
      <w:r w:rsidRPr="00496F78">
        <w:rPr>
          <w:rFonts w:ascii="Times New Roman" w:hAnsi="Times New Roman" w:cs="Times New Roman"/>
          <w:sz w:val="24"/>
          <w:szCs w:val="24"/>
          <w:lang w:val="en-US"/>
        </w:rPr>
        <w:t xml:space="preserve"> </w:t>
      </w:r>
      <w:proofErr w:type="gramStart"/>
      <w:r w:rsidRPr="008751F4">
        <w:rPr>
          <w:rFonts w:ascii="Times New Roman" w:eastAsia="Times New Roman" w:hAnsi="Times New Roman" w:cs="Times New Roman"/>
          <w:sz w:val="24"/>
          <w:szCs w:val="24"/>
          <w:lang w:val="en-GB"/>
        </w:rPr>
        <w:t>“</w:t>
      </w:r>
      <w:r w:rsidRPr="00496F78">
        <w:rPr>
          <w:rFonts w:ascii="Times New Roman" w:hAnsi="Times New Roman" w:cs="Times New Roman"/>
          <w:sz w:val="24"/>
          <w:szCs w:val="24"/>
          <w:lang w:val="en-US"/>
        </w:rPr>
        <w:t>Drivers and internalisation of the EFQM excellence model</w:t>
      </w:r>
      <w:r w:rsidRPr="008751F4">
        <w:rPr>
          <w:rFonts w:ascii="Times New Roman" w:hAnsi="Times New Roman" w:cs="Times New Roman"/>
          <w:sz w:val="24"/>
          <w:szCs w:val="24"/>
          <w:lang w:val="en-US"/>
        </w:rPr>
        <w:t>”</w:t>
      </w:r>
      <w:r w:rsidR="00C51634" w:rsidRPr="00496F78">
        <w:rPr>
          <w:rFonts w:ascii="Times New Roman" w:hAnsi="Times New Roman" w:cs="Times New Roman"/>
          <w:sz w:val="24"/>
          <w:szCs w:val="24"/>
          <w:lang w:val="en-US"/>
        </w:rPr>
        <w:t>.</w:t>
      </w:r>
      <w:proofErr w:type="gramEnd"/>
      <w:r w:rsidRPr="00496F78">
        <w:rPr>
          <w:rFonts w:ascii="Times New Roman" w:hAnsi="Times New Roman" w:cs="Times New Roman"/>
          <w:sz w:val="24"/>
          <w:szCs w:val="24"/>
          <w:lang w:val="en-US"/>
        </w:rPr>
        <w:t xml:space="preserve"> </w:t>
      </w:r>
      <w:r w:rsidRPr="00496F78">
        <w:rPr>
          <w:rFonts w:ascii="Times New Roman" w:hAnsi="Times New Roman" w:cs="Times New Roman"/>
          <w:i/>
          <w:sz w:val="24"/>
          <w:szCs w:val="24"/>
          <w:lang w:val="en-US"/>
        </w:rPr>
        <w:t>International Journal of Quality &amp; Reliability Management</w:t>
      </w:r>
      <w:r w:rsidRPr="00496F78">
        <w:rPr>
          <w:rFonts w:ascii="Times New Roman" w:hAnsi="Times New Roman" w:cs="Times New Roman"/>
          <w:sz w:val="24"/>
          <w:szCs w:val="24"/>
          <w:lang w:val="en-US"/>
        </w:rPr>
        <w:t>, 36(3), 398-419.</w:t>
      </w:r>
    </w:p>
    <w:p w:rsidR="0063798D" w:rsidRPr="00496F78" w:rsidRDefault="0063798D" w:rsidP="005C7A9A">
      <w:pPr>
        <w:tabs>
          <w:tab w:val="left" w:pos="360"/>
          <w:tab w:val="left" w:pos="709"/>
          <w:tab w:val="left" w:pos="1080"/>
          <w:tab w:val="left" w:pos="1170"/>
        </w:tabs>
        <w:ind w:left="720" w:hanging="274"/>
        <w:jc w:val="both"/>
        <w:rPr>
          <w:rFonts w:ascii="Times New Roman" w:hAnsi="Times New Roman" w:cs="Times New Roman"/>
          <w:color w:val="000000" w:themeColor="text1"/>
          <w:sz w:val="24"/>
          <w:szCs w:val="24"/>
          <w:shd w:val="clear" w:color="auto" w:fill="FFFFFF"/>
          <w:lang w:val="en-US"/>
        </w:rPr>
      </w:pPr>
      <w:r w:rsidRPr="00496F78">
        <w:rPr>
          <w:rFonts w:ascii="Times New Roman" w:hAnsi="Times New Roman" w:cs="Times New Roman"/>
          <w:color w:val="000000" w:themeColor="text1"/>
          <w:sz w:val="24"/>
          <w:szCs w:val="24"/>
          <w:shd w:val="clear" w:color="auto" w:fill="FFFFFF"/>
          <w:lang w:val="en-US"/>
        </w:rPr>
        <w:t>F</w:t>
      </w:r>
      <w:r w:rsidR="00C51634" w:rsidRPr="00496F78">
        <w:rPr>
          <w:rFonts w:ascii="Times New Roman" w:hAnsi="Times New Roman" w:cs="Times New Roman"/>
          <w:color w:val="000000" w:themeColor="text1"/>
          <w:sz w:val="24"/>
          <w:szCs w:val="24"/>
          <w:shd w:val="clear" w:color="auto" w:fill="FFFFFF"/>
          <w:lang w:val="en-US"/>
        </w:rPr>
        <w:t>ornell C., Larcker, D. (1981).</w:t>
      </w:r>
      <w:r w:rsidRPr="00496F78">
        <w:rPr>
          <w:rFonts w:ascii="Times New Roman" w:hAnsi="Times New Roman" w:cs="Times New Roman"/>
          <w:color w:val="000000" w:themeColor="text1"/>
          <w:sz w:val="24"/>
          <w:szCs w:val="24"/>
          <w:shd w:val="clear" w:color="auto" w:fill="FFFFFF"/>
          <w:lang w:val="en-US"/>
        </w:rPr>
        <w:t xml:space="preserve"> </w:t>
      </w:r>
      <w:proofErr w:type="gramStart"/>
      <w:r w:rsidRPr="008751F4">
        <w:rPr>
          <w:rFonts w:ascii="Times New Roman" w:hAnsi="Times New Roman" w:cs="Times New Roman"/>
          <w:sz w:val="24"/>
          <w:szCs w:val="24"/>
          <w:lang w:val="en-US"/>
        </w:rPr>
        <w:t>“</w:t>
      </w:r>
      <w:r w:rsidRPr="00496F78">
        <w:rPr>
          <w:rFonts w:ascii="Times New Roman" w:hAnsi="Times New Roman" w:cs="Times New Roman"/>
          <w:color w:val="000000" w:themeColor="text1"/>
          <w:sz w:val="24"/>
          <w:szCs w:val="24"/>
          <w:shd w:val="clear" w:color="auto" w:fill="FFFFFF"/>
          <w:lang w:val="en-US"/>
        </w:rPr>
        <w:t>Evaluating Structural Equation Models with Unobservable Variables and Measurement Error</w:t>
      </w:r>
      <w:r w:rsidRPr="008751F4">
        <w:rPr>
          <w:rFonts w:ascii="Times New Roman" w:hAnsi="Times New Roman" w:cs="Times New Roman"/>
          <w:sz w:val="24"/>
          <w:szCs w:val="24"/>
          <w:lang w:val="en-US"/>
        </w:rPr>
        <w:t>”</w:t>
      </w:r>
      <w:r w:rsidR="00C51634" w:rsidRPr="00496F78">
        <w:rPr>
          <w:rFonts w:ascii="Times New Roman" w:hAnsi="Times New Roman" w:cs="Times New Roman"/>
          <w:color w:val="000000" w:themeColor="text1"/>
          <w:sz w:val="24"/>
          <w:szCs w:val="24"/>
          <w:shd w:val="clear" w:color="auto" w:fill="FFFFFF"/>
          <w:lang w:val="en-US"/>
        </w:rPr>
        <w:t>.</w:t>
      </w:r>
      <w:proofErr w:type="gramEnd"/>
      <w:r w:rsidRPr="00496F78">
        <w:rPr>
          <w:rFonts w:ascii="Times New Roman" w:hAnsi="Times New Roman" w:cs="Times New Roman"/>
          <w:color w:val="000000" w:themeColor="text1"/>
          <w:sz w:val="24"/>
          <w:szCs w:val="24"/>
          <w:shd w:val="clear" w:color="auto" w:fill="FFFFFF"/>
          <w:lang w:val="en-US"/>
        </w:rPr>
        <w:t xml:space="preserve"> </w:t>
      </w:r>
      <w:r w:rsidRPr="00496F78">
        <w:rPr>
          <w:rFonts w:ascii="Times New Roman" w:hAnsi="Times New Roman" w:cs="Times New Roman"/>
          <w:i/>
          <w:color w:val="000000" w:themeColor="text1"/>
          <w:sz w:val="24"/>
          <w:szCs w:val="24"/>
          <w:shd w:val="clear" w:color="auto" w:fill="FFFFFF"/>
          <w:lang w:val="en-US"/>
        </w:rPr>
        <w:t>Journal of Marketing Research</w:t>
      </w:r>
      <w:r w:rsidR="00C51634" w:rsidRPr="00496F78">
        <w:rPr>
          <w:rFonts w:ascii="Times New Roman" w:hAnsi="Times New Roman" w:cs="Times New Roman"/>
          <w:color w:val="000000" w:themeColor="text1"/>
          <w:sz w:val="24"/>
          <w:szCs w:val="24"/>
          <w:shd w:val="clear" w:color="auto" w:fill="FFFFFF"/>
          <w:lang w:val="en-US"/>
        </w:rPr>
        <w:t>, 18(</w:t>
      </w:r>
      <w:r w:rsidRPr="00496F78">
        <w:rPr>
          <w:rFonts w:ascii="Times New Roman" w:hAnsi="Times New Roman" w:cs="Times New Roman"/>
          <w:color w:val="000000" w:themeColor="text1"/>
          <w:sz w:val="24"/>
          <w:szCs w:val="24"/>
          <w:shd w:val="clear" w:color="auto" w:fill="FFFFFF"/>
          <w:lang w:val="en-US"/>
        </w:rPr>
        <w:t>1</w:t>
      </w:r>
      <w:r w:rsidR="00C51634" w:rsidRPr="00496F78">
        <w:rPr>
          <w:rFonts w:ascii="Times New Roman" w:hAnsi="Times New Roman" w:cs="Times New Roman"/>
          <w:color w:val="000000" w:themeColor="text1"/>
          <w:sz w:val="24"/>
          <w:szCs w:val="24"/>
          <w:shd w:val="clear" w:color="auto" w:fill="FFFFFF"/>
          <w:lang w:val="en-US"/>
        </w:rPr>
        <w:t>),</w:t>
      </w:r>
      <w:r w:rsidRPr="00496F78">
        <w:rPr>
          <w:rFonts w:ascii="Times New Roman" w:hAnsi="Times New Roman" w:cs="Times New Roman"/>
          <w:color w:val="000000" w:themeColor="text1"/>
          <w:sz w:val="24"/>
          <w:szCs w:val="24"/>
          <w:shd w:val="clear" w:color="auto" w:fill="FFFFFF"/>
          <w:lang w:val="en-US"/>
        </w:rPr>
        <w:t xml:space="preserve"> 39-50.</w:t>
      </w:r>
    </w:p>
    <w:p w:rsidR="007309B4" w:rsidRPr="008751F4" w:rsidRDefault="00C51634" w:rsidP="005C7A9A">
      <w:pPr>
        <w:autoSpaceDE w:val="0"/>
        <w:autoSpaceDN w:val="0"/>
        <w:adjustRightInd w:val="0"/>
        <w:ind w:left="720" w:hanging="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Fowler F.J., Mangione T.W. (1990).</w:t>
      </w:r>
      <w:proofErr w:type="gramEnd"/>
      <w:r w:rsidR="007309B4" w:rsidRPr="008751F4">
        <w:rPr>
          <w:rFonts w:ascii="Times New Roman" w:hAnsi="Times New Roman" w:cs="Times New Roman"/>
          <w:sz w:val="24"/>
          <w:szCs w:val="24"/>
          <w:lang w:val="en-US"/>
        </w:rPr>
        <w:t xml:space="preserve"> </w:t>
      </w:r>
      <w:proofErr w:type="gramStart"/>
      <w:r w:rsidR="007309B4" w:rsidRPr="00C51634">
        <w:rPr>
          <w:rFonts w:ascii="Times New Roman" w:hAnsi="Times New Roman" w:cs="Times New Roman"/>
          <w:i/>
          <w:sz w:val="24"/>
          <w:szCs w:val="24"/>
          <w:lang w:val="en-US"/>
        </w:rPr>
        <w:t>Standardized Survey Interviewing Minim</w:t>
      </w:r>
      <w:r w:rsidRPr="00C51634">
        <w:rPr>
          <w:rFonts w:ascii="Times New Roman" w:hAnsi="Times New Roman" w:cs="Times New Roman"/>
          <w:i/>
          <w:sz w:val="24"/>
          <w:szCs w:val="24"/>
          <w:lang w:val="en-US"/>
        </w:rPr>
        <w:t>izing Interviewer-Related Error</w:t>
      </w:r>
      <w:r>
        <w:rPr>
          <w:rFonts w:ascii="Times New Roman" w:hAnsi="Times New Roman" w:cs="Times New Roman"/>
          <w:sz w:val="24"/>
          <w:szCs w:val="24"/>
          <w:lang w:val="en-US"/>
        </w:rPr>
        <w:t>.</w:t>
      </w:r>
      <w:proofErr w:type="gramEnd"/>
      <w:r w:rsidR="007309B4" w:rsidRPr="008751F4">
        <w:rPr>
          <w:rFonts w:ascii="Times New Roman" w:hAnsi="Times New Roman" w:cs="Times New Roman"/>
          <w:sz w:val="24"/>
          <w:szCs w:val="24"/>
          <w:lang w:val="en-US"/>
        </w:rPr>
        <w:t xml:space="preserve"> Thousand Oaks, CA: Sage.</w:t>
      </w:r>
    </w:p>
    <w:p w:rsidR="00DC5A74" w:rsidRPr="008751F4" w:rsidRDefault="00383F8E" w:rsidP="005C7A9A">
      <w:pPr>
        <w:ind w:left="720" w:hanging="270"/>
        <w:jc w:val="both"/>
        <w:rPr>
          <w:rStyle w:val="Accentuation"/>
          <w:rFonts w:ascii="Times New Roman" w:hAnsi="Times New Roman" w:cs="Times New Roman"/>
          <w:i w:val="0"/>
          <w:sz w:val="24"/>
          <w:szCs w:val="24"/>
          <w:lang w:val="en-GB"/>
        </w:rPr>
      </w:pPr>
      <w:r>
        <w:rPr>
          <w:rStyle w:val="Accentuation"/>
          <w:rFonts w:ascii="Times New Roman" w:hAnsi="Times New Roman" w:cs="Times New Roman"/>
          <w:i w:val="0"/>
          <w:sz w:val="24"/>
          <w:szCs w:val="24"/>
          <w:lang w:val="en-GB"/>
        </w:rPr>
        <w:t>Fresner J., Engelhardt, G. (2004).</w:t>
      </w:r>
      <w:r w:rsidR="00DC5A74" w:rsidRPr="008751F4">
        <w:rPr>
          <w:rStyle w:val="Accentuation"/>
          <w:rFonts w:ascii="Times New Roman" w:hAnsi="Times New Roman" w:cs="Times New Roman"/>
          <w:i w:val="0"/>
          <w:sz w:val="24"/>
          <w:szCs w:val="24"/>
          <w:lang w:val="en-GB"/>
        </w:rPr>
        <w:t xml:space="preserve"> </w:t>
      </w:r>
      <w:proofErr w:type="gramStart"/>
      <w:r w:rsidR="00DC5A74" w:rsidRPr="008751F4">
        <w:rPr>
          <w:rStyle w:val="Accentuation"/>
          <w:rFonts w:ascii="Times New Roman" w:hAnsi="Times New Roman" w:cs="Times New Roman"/>
          <w:i w:val="0"/>
          <w:sz w:val="24"/>
          <w:szCs w:val="24"/>
          <w:lang w:val="en-GB"/>
        </w:rPr>
        <w:t>“Experiences with integrated management systems for two small companies in Austria”</w:t>
      </w:r>
      <w:r>
        <w:rPr>
          <w:rStyle w:val="Accentuation"/>
          <w:rFonts w:ascii="Times New Roman" w:hAnsi="Times New Roman" w:cs="Times New Roman"/>
          <w:i w:val="0"/>
          <w:sz w:val="24"/>
          <w:szCs w:val="24"/>
          <w:lang w:val="en-GB"/>
        </w:rPr>
        <w:t>.</w:t>
      </w:r>
      <w:proofErr w:type="gramEnd"/>
      <w:r w:rsidR="00DC5A74" w:rsidRPr="008751F4">
        <w:rPr>
          <w:rStyle w:val="Accentuation"/>
          <w:rFonts w:ascii="Times New Roman" w:hAnsi="Times New Roman" w:cs="Times New Roman"/>
          <w:sz w:val="24"/>
          <w:szCs w:val="24"/>
          <w:lang w:val="en-GB"/>
        </w:rPr>
        <w:t xml:space="preserve"> Journal of Cleaner Production</w:t>
      </w:r>
      <w:r w:rsidR="00DC5A74" w:rsidRPr="008751F4">
        <w:rPr>
          <w:rStyle w:val="Accentuation"/>
          <w:rFonts w:ascii="Times New Roman" w:hAnsi="Times New Roman" w:cs="Times New Roman"/>
          <w:i w:val="0"/>
          <w:sz w:val="24"/>
          <w:szCs w:val="24"/>
          <w:lang w:val="en-GB"/>
        </w:rPr>
        <w:t>, 12</w:t>
      </w:r>
      <w:r w:rsidR="005C3891" w:rsidRPr="008751F4">
        <w:rPr>
          <w:rStyle w:val="Accentuation"/>
          <w:rFonts w:ascii="Times New Roman" w:hAnsi="Times New Roman" w:cs="Times New Roman"/>
          <w:i w:val="0"/>
          <w:sz w:val="24"/>
          <w:szCs w:val="24"/>
          <w:lang w:val="en-GB"/>
        </w:rPr>
        <w:t>(</w:t>
      </w:r>
      <w:r w:rsidR="00DC5A74" w:rsidRPr="008751F4">
        <w:rPr>
          <w:rStyle w:val="Accentuation"/>
          <w:rFonts w:ascii="Times New Roman" w:hAnsi="Times New Roman" w:cs="Times New Roman"/>
          <w:i w:val="0"/>
          <w:sz w:val="24"/>
          <w:szCs w:val="24"/>
          <w:lang w:val="en-GB"/>
        </w:rPr>
        <w:t>6</w:t>
      </w:r>
      <w:r w:rsidR="005C3891" w:rsidRPr="008751F4">
        <w:rPr>
          <w:rStyle w:val="Accentuation"/>
          <w:rFonts w:ascii="Times New Roman" w:hAnsi="Times New Roman" w:cs="Times New Roman"/>
          <w:i w:val="0"/>
          <w:sz w:val="24"/>
          <w:szCs w:val="24"/>
          <w:lang w:val="en-GB"/>
        </w:rPr>
        <w:t>)</w:t>
      </w:r>
      <w:r w:rsidR="00DC5A74" w:rsidRPr="008751F4">
        <w:rPr>
          <w:rStyle w:val="Accentuation"/>
          <w:rFonts w:ascii="Times New Roman" w:hAnsi="Times New Roman" w:cs="Times New Roman"/>
          <w:i w:val="0"/>
          <w:sz w:val="24"/>
          <w:szCs w:val="24"/>
          <w:lang w:val="en-GB"/>
        </w:rPr>
        <w:t>, 623-631.</w:t>
      </w:r>
    </w:p>
    <w:p w:rsidR="00DC5A74" w:rsidRPr="008751F4" w:rsidRDefault="00C840E4" w:rsidP="005C7A9A">
      <w:pPr>
        <w:ind w:left="720" w:hanging="270"/>
        <w:jc w:val="both"/>
        <w:rPr>
          <w:rStyle w:val="Accentuation"/>
          <w:rFonts w:ascii="Times New Roman" w:hAnsi="Times New Roman" w:cs="Times New Roman"/>
          <w:i w:val="0"/>
          <w:sz w:val="24"/>
          <w:szCs w:val="24"/>
          <w:lang w:val="en-GB"/>
        </w:rPr>
      </w:pPr>
      <w:r>
        <w:rPr>
          <w:rFonts w:ascii="Times New Roman" w:hAnsi="Times New Roman" w:cs="Times New Roman"/>
          <w:color w:val="000000"/>
          <w:sz w:val="24"/>
          <w:szCs w:val="24"/>
          <w:lang w:val="en-GB"/>
        </w:rPr>
        <w:t xml:space="preserve">Garengo P., Biazzo S. (2013). </w:t>
      </w:r>
      <w:r w:rsidR="00DC5A74" w:rsidRPr="008751F4">
        <w:rPr>
          <w:rFonts w:ascii="Times New Roman" w:hAnsi="Times New Roman" w:cs="Times New Roman"/>
          <w:color w:val="000000"/>
          <w:sz w:val="24"/>
          <w:szCs w:val="24"/>
          <w:lang w:val="en-GB"/>
        </w:rPr>
        <w:t>“From ISO quality standards to an integrated management system: an</w:t>
      </w:r>
      <w:r>
        <w:rPr>
          <w:rFonts w:ascii="Times New Roman" w:hAnsi="Times New Roman" w:cs="Times New Roman"/>
          <w:color w:val="000000"/>
          <w:sz w:val="24"/>
          <w:szCs w:val="24"/>
          <w:lang w:val="en-GB"/>
        </w:rPr>
        <w:t xml:space="preserve"> implementation process in SME”.</w:t>
      </w:r>
      <w:r w:rsidR="00DC5A74" w:rsidRPr="008751F4">
        <w:rPr>
          <w:rFonts w:ascii="Times New Roman" w:hAnsi="Times New Roman" w:cs="Times New Roman"/>
          <w:color w:val="000000"/>
          <w:sz w:val="24"/>
          <w:szCs w:val="24"/>
          <w:lang w:val="en-GB"/>
        </w:rPr>
        <w:t xml:space="preserve"> </w:t>
      </w:r>
      <w:r w:rsidR="00DC5A74" w:rsidRPr="008751F4">
        <w:rPr>
          <w:rFonts w:ascii="Times New Roman" w:hAnsi="Times New Roman" w:cs="Times New Roman"/>
          <w:i/>
          <w:color w:val="000000"/>
          <w:sz w:val="24"/>
          <w:szCs w:val="24"/>
          <w:lang w:val="en-GB"/>
        </w:rPr>
        <w:t>Total Quality Management &amp; Business Excellence</w:t>
      </w:r>
      <w:r w:rsidR="00D542B9">
        <w:rPr>
          <w:rFonts w:ascii="Times New Roman" w:hAnsi="Times New Roman" w:cs="Times New Roman"/>
          <w:color w:val="000000"/>
          <w:sz w:val="24"/>
          <w:szCs w:val="24"/>
          <w:lang w:val="en-GB"/>
        </w:rPr>
        <w:t>, 24(</w:t>
      </w:r>
      <w:r w:rsidR="00DC5A74" w:rsidRPr="008751F4">
        <w:rPr>
          <w:rFonts w:ascii="Times New Roman" w:hAnsi="Times New Roman" w:cs="Times New Roman"/>
          <w:color w:val="000000"/>
          <w:sz w:val="24"/>
          <w:szCs w:val="24"/>
          <w:lang w:val="en-GB"/>
        </w:rPr>
        <w:t>3-4</w:t>
      </w:r>
      <w:r w:rsidR="00D542B9">
        <w:rPr>
          <w:rFonts w:ascii="Times New Roman" w:hAnsi="Times New Roman" w:cs="Times New Roman"/>
          <w:color w:val="000000"/>
          <w:sz w:val="24"/>
          <w:szCs w:val="24"/>
          <w:lang w:val="en-GB"/>
        </w:rPr>
        <w:t xml:space="preserve">), </w:t>
      </w:r>
      <w:r w:rsidR="00DC5A74" w:rsidRPr="008751F4">
        <w:rPr>
          <w:rFonts w:ascii="Times New Roman" w:hAnsi="Times New Roman" w:cs="Times New Roman"/>
          <w:color w:val="000000"/>
          <w:sz w:val="24"/>
          <w:szCs w:val="24"/>
          <w:lang w:val="en-GB"/>
        </w:rPr>
        <w:t>310-335.</w:t>
      </w:r>
    </w:p>
    <w:p w:rsidR="00BA28BF" w:rsidRPr="008751F4" w:rsidRDefault="00C840E4" w:rsidP="005C7A9A">
      <w:pPr>
        <w:tabs>
          <w:tab w:val="left" w:pos="709"/>
          <w:tab w:val="left" w:pos="1170"/>
        </w:tabs>
        <w:ind w:left="720" w:hanging="270"/>
        <w:jc w:val="both"/>
        <w:rPr>
          <w:rFonts w:ascii="Times New Roman" w:hAnsi="Times New Roman" w:cs="Times New Roman"/>
          <w:sz w:val="24"/>
          <w:szCs w:val="24"/>
          <w:lang w:val="en-GB"/>
        </w:rPr>
      </w:pPr>
      <w:r>
        <w:rPr>
          <w:rFonts w:ascii="Times New Roman" w:hAnsi="Times New Roman" w:cs="Times New Roman"/>
          <w:sz w:val="24"/>
          <w:szCs w:val="24"/>
          <w:lang w:val="en-GB"/>
        </w:rPr>
        <w:t>Gianni M., Gotzamani</w:t>
      </w:r>
      <w:r w:rsidR="00BA28BF" w:rsidRPr="008751F4">
        <w:rPr>
          <w:rFonts w:ascii="Times New Roman" w:hAnsi="Times New Roman" w:cs="Times New Roman"/>
          <w:sz w:val="24"/>
          <w:szCs w:val="24"/>
          <w:lang w:val="en-GB"/>
        </w:rPr>
        <w:t xml:space="preserve"> K. (2015)</w:t>
      </w:r>
      <w:r>
        <w:rPr>
          <w:rFonts w:ascii="Times New Roman" w:hAnsi="Times New Roman" w:cs="Times New Roman"/>
          <w:sz w:val="24"/>
          <w:szCs w:val="24"/>
          <w:lang w:val="en-GB"/>
        </w:rPr>
        <w:t>.</w:t>
      </w:r>
      <w:r w:rsidR="00BA28BF" w:rsidRPr="008751F4">
        <w:rPr>
          <w:rFonts w:ascii="Times New Roman" w:hAnsi="Times New Roman" w:cs="Times New Roman"/>
          <w:sz w:val="24"/>
          <w:szCs w:val="24"/>
          <w:lang w:val="en-GB"/>
        </w:rPr>
        <w:t xml:space="preserve"> </w:t>
      </w:r>
      <w:proofErr w:type="gramStart"/>
      <w:r w:rsidR="00BA28BF" w:rsidRPr="008751F4">
        <w:rPr>
          <w:rFonts w:ascii="Times New Roman" w:hAnsi="Times New Roman" w:cs="Times New Roman"/>
          <w:sz w:val="24"/>
          <w:szCs w:val="24"/>
          <w:lang w:val="en-GB"/>
        </w:rPr>
        <w:t>“Management systems integration: lessons from an abandonment case”,</w:t>
      </w:r>
      <w:r w:rsidR="00AA5FA9" w:rsidRPr="008751F4">
        <w:rPr>
          <w:rFonts w:ascii="Times New Roman" w:hAnsi="Times New Roman" w:cs="Times New Roman"/>
          <w:sz w:val="24"/>
          <w:szCs w:val="24"/>
          <w:lang w:val="en-GB"/>
        </w:rPr>
        <w:t xml:space="preserve"> </w:t>
      </w:r>
      <w:r w:rsidR="00BA28BF" w:rsidRPr="008751F4">
        <w:rPr>
          <w:rFonts w:ascii="Times New Roman" w:hAnsi="Times New Roman" w:cs="Times New Roman"/>
          <w:i/>
          <w:sz w:val="24"/>
          <w:szCs w:val="24"/>
          <w:lang w:val="en-GB"/>
        </w:rPr>
        <w:t>Journal of Cleaner Production</w:t>
      </w:r>
      <w:r w:rsidR="00BA28BF" w:rsidRPr="008751F4">
        <w:rPr>
          <w:rFonts w:ascii="Times New Roman" w:hAnsi="Times New Roman" w:cs="Times New Roman"/>
          <w:sz w:val="24"/>
          <w:szCs w:val="24"/>
          <w:lang w:val="en-GB"/>
        </w:rPr>
        <w:t xml:space="preserve">, </w:t>
      </w:r>
      <w:r w:rsidR="00AA5FA9" w:rsidRPr="008751F4">
        <w:rPr>
          <w:rFonts w:ascii="Times New Roman" w:hAnsi="Times New Roman" w:cs="Times New Roman"/>
          <w:sz w:val="24"/>
          <w:szCs w:val="24"/>
          <w:lang w:val="en-GB"/>
        </w:rPr>
        <w:t xml:space="preserve">86, </w:t>
      </w:r>
      <w:r w:rsidR="00BA28BF" w:rsidRPr="008751F4">
        <w:rPr>
          <w:rFonts w:ascii="Times New Roman" w:hAnsi="Times New Roman" w:cs="Times New Roman"/>
          <w:sz w:val="24"/>
          <w:szCs w:val="24"/>
          <w:lang w:val="en-GB"/>
        </w:rPr>
        <w:t>265-276.</w:t>
      </w:r>
      <w:proofErr w:type="gramEnd"/>
    </w:p>
    <w:p w:rsidR="007D63D2" w:rsidRPr="008751F4" w:rsidRDefault="00C840E4" w:rsidP="005C7A9A">
      <w:pPr>
        <w:tabs>
          <w:tab w:val="left" w:pos="709"/>
          <w:tab w:val="left" w:pos="1080"/>
          <w:tab w:val="left" w:pos="1170"/>
        </w:tabs>
        <w:ind w:left="720" w:hanging="270"/>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Gianni M., Gotzamani K. (2016).</w:t>
      </w:r>
      <w:r w:rsidR="007D63D2" w:rsidRPr="008751F4">
        <w:rPr>
          <w:rFonts w:ascii="Times New Roman" w:hAnsi="Times New Roman" w:cs="Times New Roman"/>
          <w:sz w:val="24"/>
          <w:szCs w:val="24"/>
          <w:shd w:val="clear" w:color="auto" w:fill="FFFFFF"/>
          <w:lang w:val="en-GB"/>
        </w:rPr>
        <w:t xml:space="preserve"> “Integrated Management Systems and Information Management Systems: Common Threads”</w:t>
      </w:r>
      <w:r w:rsidR="00793F87">
        <w:rPr>
          <w:rFonts w:ascii="Times New Roman" w:hAnsi="Times New Roman" w:cs="Times New Roman"/>
          <w:sz w:val="24"/>
          <w:szCs w:val="24"/>
          <w:shd w:val="clear" w:color="auto" w:fill="FFFFFF"/>
          <w:lang w:val="en-GB"/>
        </w:rPr>
        <w:t>.</w:t>
      </w:r>
      <w:r w:rsidR="007D63D2" w:rsidRPr="008751F4">
        <w:rPr>
          <w:rFonts w:ascii="Times New Roman" w:hAnsi="Times New Roman" w:cs="Times New Roman"/>
          <w:sz w:val="24"/>
          <w:szCs w:val="24"/>
          <w:shd w:val="clear" w:color="auto" w:fill="FFFFFF"/>
          <w:lang w:val="en-GB"/>
        </w:rPr>
        <w:t xml:space="preserve"> In P. Papajorgji, F. Pinet, A. Guimarães, &amp; J. Papathanasiou (Eds.) </w:t>
      </w:r>
      <w:r w:rsidR="007D63D2" w:rsidRPr="008751F4">
        <w:rPr>
          <w:rFonts w:ascii="Times New Roman" w:hAnsi="Times New Roman" w:cs="Times New Roman"/>
          <w:i/>
          <w:iCs/>
          <w:sz w:val="24"/>
          <w:szCs w:val="24"/>
          <w:shd w:val="clear" w:color="auto" w:fill="FFFFFF"/>
          <w:lang w:val="en-GB"/>
        </w:rPr>
        <w:t xml:space="preserve">Automated Enterprise Systems for Maximizing Business Performance, </w:t>
      </w:r>
      <w:r w:rsidR="007D63D2" w:rsidRPr="008751F4">
        <w:rPr>
          <w:rFonts w:ascii="Times New Roman" w:hAnsi="Times New Roman" w:cs="Times New Roman"/>
          <w:sz w:val="24"/>
          <w:szCs w:val="24"/>
          <w:shd w:val="clear" w:color="auto" w:fill="FFFFFF"/>
          <w:lang w:val="en-GB"/>
        </w:rPr>
        <w:t xml:space="preserve">IGI Global, </w:t>
      </w:r>
      <w:proofErr w:type="gramStart"/>
      <w:r w:rsidR="007D63D2" w:rsidRPr="008751F4">
        <w:rPr>
          <w:rFonts w:ascii="Times New Roman" w:hAnsi="Times New Roman" w:cs="Times New Roman"/>
          <w:sz w:val="24"/>
          <w:szCs w:val="24"/>
          <w:shd w:val="clear" w:color="auto" w:fill="FFFFFF"/>
          <w:lang w:val="en-GB"/>
        </w:rPr>
        <w:t>pp</w:t>
      </w:r>
      <w:proofErr w:type="gramEnd"/>
      <w:r w:rsidR="007D63D2" w:rsidRPr="008751F4">
        <w:rPr>
          <w:rFonts w:ascii="Times New Roman" w:hAnsi="Times New Roman" w:cs="Times New Roman"/>
          <w:sz w:val="24"/>
          <w:szCs w:val="24"/>
          <w:shd w:val="clear" w:color="auto" w:fill="FFFFFF"/>
          <w:lang w:val="en-GB"/>
        </w:rPr>
        <w:t>. 195-214</w:t>
      </w:r>
      <w:r w:rsidR="007D63D2" w:rsidRPr="008751F4">
        <w:rPr>
          <w:rFonts w:ascii="Times New Roman" w:hAnsi="Times New Roman" w:cs="Times New Roman"/>
          <w:color w:val="333333"/>
          <w:sz w:val="24"/>
          <w:szCs w:val="24"/>
          <w:shd w:val="clear" w:color="auto" w:fill="FFFFFF"/>
          <w:lang w:val="en-GB"/>
        </w:rPr>
        <w:t>.</w:t>
      </w:r>
    </w:p>
    <w:p w:rsidR="007D63D2" w:rsidRPr="008751F4" w:rsidRDefault="00793F87" w:rsidP="005C7A9A">
      <w:pPr>
        <w:tabs>
          <w:tab w:val="left" w:pos="709"/>
          <w:tab w:val="left" w:pos="1080"/>
          <w:tab w:val="left" w:pos="1170"/>
        </w:tabs>
        <w:ind w:left="720" w:hanging="270"/>
        <w:jc w:val="both"/>
        <w:rPr>
          <w:rFonts w:ascii="Times New Roman" w:hAnsi="Times New Roman" w:cs="Times New Roman"/>
          <w:sz w:val="24"/>
          <w:szCs w:val="24"/>
          <w:lang w:val="en-GB"/>
        </w:rPr>
      </w:pPr>
      <w:r>
        <w:rPr>
          <w:rFonts w:ascii="Times New Roman" w:hAnsi="Times New Roman" w:cs="Times New Roman"/>
          <w:sz w:val="24"/>
          <w:szCs w:val="24"/>
          <w:lang w:val="en-GB"/>
        </w:rPr>
        <w:t>Gianni M., Gotzamani K., Linden, I. (2016).</w:t>
      </w:r>
      <w:r w:rsidR="007D63D2" w:rsidRPr="008751F4">
        <w:rPr>
          <w:rFonts w:ascii="Times New Roman" w:hAnsi="Times New Roman" w:cs="Times New Roman"/>
          <w:sz w:val="24"/>
          <w:szCs w:val="24"/>
          <w:lang w:val="en-GB"/>
        </w:rPr>
        <w:t xml:space="preserve"> “</w:t>
      </w:r>
      <w:r w:rsidR="007D63D2" w:rsidRPr="008751F4">
        <w:rPr>
          <w:rFonts w:ascii="Times New Roman" w:hAnsi="Times New Roman" w:cs="Times New Roman"/>
          <w:sz w:val="24"/>
          <w:szCs w:val="24"/>
          <w:shd w:val="clear" w:color="auto" w:fill="FFFFFF"/>
          <w:lang w:val="en-GB"/>
        </w:rPr>
        <w:t>How a BI-wise responsible integrated management system may support food traceability</w:t>
      </w:r>
      <w:r>
        <w:rPr>
          <w:rFonts w:ascii="Times New Roman" w:hAnsi="Times New Roman" w:cs="Times New Roman"/>
          <w:sz w:val="24"/>
          <w:szCs w:val="24"/>
          <w:lang w:val="en-GB"/>
        </w:rPr>
        <w:t>”.</w:t>
      </w:r>
      <w:r w:rsidR="007D63D2" w:rsidRPr="008751F4">
        <w:rPr>
          <w:rFonts w:ascii="Times New Roman" w:hAnsi="Times New Roman" w:cs="Times New Roman"/>
          <w:sz w:val="24"/>
          <w:szCs w:val="24"/>
          <w:lang w:val="en-GB"/>
        </w:rPr>
        <w:t xml:space="preserve"> </w:t>
      </w:r>
      <w:r w:rsidR="007D63D2" w:rsidRPr="008751F4">
        <w:rPr>
          <w:rFonts w:ascii="Times New Roman" w:hAnsi="Times New Roman" w:cs="Times New Roman"/>
          <w:i/>
          <w:sz w:val="24"/>
          <w:szCs w:val="24"/>
          <w:lang w:val="en-GB"/>
        </w:rPr>
        <w:t xml:space="preserve">International Journal of Decision Support System Technology, </w:t>
      </w:r>
      <w:r w:rsidR="007D63D2" w:rsidRPr="008751F4">
        <w:rPr>
          <w:rFonts w:ascii="Times New Roman" w:hAnsi="Times New Roman" w:cs="Times New Roman"/>
          <w:sz w:val="24"/>
          <w:szCs w:val="24"/>
          <w:lang w:val="en-GB"/>
        </w:rPr>
        <w:t>8(2), 1-17.</w:t>
      </w:r>
    </w:p>
    <w:p w:rsidR="00964544" w:rsidRPr="00496F78" w:rsidRDefault="00793F87" w:rsidP="005C7A9A">
      <w:pPr>
        <w:tabs>
          <w:tab w:val="left" w:pos="360"/>
          <w:tab w:val="left" w:pos="709"/>
          <w:tab w:val="left" w:pos="1080"/>
        </w:tabs>
        <w:ind w:left="720" w:hanging="270"/>
        <w:jc w:val="both"/>
        <w:rPr>
          <w:rFonts w:ascii="Times New Roman" w:hAnsi="Times New Roman" w:cs="Times New Roman"/>
          <w:color w:val="000000" w:themeColor="text1"/>
          <w:sz w:val="24"/>
          <w:szCs w:val="24"/>
          <w:lang w:val="en-US"/>
        </w:rPr>
      </w:pPr>
      <w:r w:rsidRPr="00496F78">
        <w:rPr>
          <w:rFonts w:ascii="Times New Roman" w:hAnsi="Times New Roman" w:cs="Times New Roman"/>
          <w:color w:val="000000" w:themeColor="text1"/>
          <w:sz w:val="24"/>
          <w:szCs w:val="24"/>
          <w:lang w:val="en-US"/>
        </w:rPr>
        <w:t>Gianni M., Gotzamani K., Tsiotras</w:t>
      </w:r>
      <w:r w:rsidR="00964544" w:rsidRPr="00496F78">
        <w:rPr>
          <w:rFonts w:ascii="Times New Roman" w:hAnsi="Times New Roman" w:cs="Times New Roman"/>
          <w:color w:val="000000" w:themeColor="text1"/>
          <w:sz w:val="24"/>
          <w:szCs w:val="24"/>
          <w:lang w:val="en-US"/>
        </w:rPr>
        <w:t xml:space="preserve"> G. </w:t>
      </w:r>
      <w:r w:rsidR="00964544" w:rsidRPr="00496F78">
        <w:rPr>
          <w:rFonts w:ascii="Times New Roman" w:hAnsi="Times New Roman" w:cs="Times New Roman"/>
          <w:i/>
          <w:color w:val="000000" w:themeColor="text1"/>
          <w:sz w:val="24"/>
          <w:szCs w:val="24"/>
          <w:lang w:val="en-US"/>
        </w:rPr>
        <w:t>(</w:t>
      </w:r>
      <w:r w:rsidR="00964544" w:rsidRPr="00496F78">
        <w:rPr>
          <w:rFonts w:ascii="Times New Roman" w:hAnsi="Times New Roman" w:cs="Times New Roman"/>
          <w:color w:val="000000" w:themeColor="text1"/>
          <w:sz w:val="24"/>
          <w:szCs w:val="24"/>
          <w:lang w:val="en-US"/>
        </w:rPr>
        <w:t>2017</w:t>
      </w:r>
      <w:r w:rsidR="00EC44B6" w:rsidRPr="00496F78">
        <w:rPr>
          <w:rFonts w:ascii="Times New Roman" w:hAnsi="Times New Roman" w:cs="Times New Roman"/>
          <w:color w:val="000000" w:themeColor="text1"/>
          <w:sz w:val="24"/>
          <w:szCs w:val="24"/>
          <w:lang w:val="en-US"/>
        </w:rPr>
        <w:t>a</w:t>
      </w:r>
      <w:r w:rsidR="00964544" w:rsidRPr="00496F78">
        <w:rPr>
          <w:rFonts w:ascii="Times New Roman" w:hAnsi="Times New Roman" w:cs="Times New Roman"/>
          <w:color w:val="000000" w:themeColor="text1"/>
          <w:sz w:val="24"/>
          <w:szCs w:val="24"/>
          <w:lang w:val="en-US"/>
        </w:rPr>
        <w:t xml:space="preserve">). </w:t>
      </w:r>
      <w:proofErr w:type="gramStart"/>
      <w:r w:rsidR="0063798D" w:rsidRPr="008751F4">
        <w:rPr>
          <w:rFonts w:ascii="Times New Roman" w:hAnsi="Times New Roman" w:cs="Times New Roman"/>
          <w:sz w:val="24"/>
          <w:szCs w:val="24"/>
          <w:lang w:val="en-US"/>
        </w:rPr>
        <w:t>“</w:t>
      </w:r>
      <w:r w:rsidR="00964544" w:rsidRPr="00496F78">
        <w:rPr>
          <w:rFonts w:ascii="Times New Roman" w:hAnsi="Times New Roman" w:cs="Times New Roman"/>
          <w:color w:val="000000" w:themeColor="text1"/>
          <w:sz w:val="24"/>
          <w:szCs w:val="24"/>
          <w:lang w:val="en-US"/>
        </w:rPr>
        <w:t>Multiple perspectives on integrated management systems and corporate sustainability performance</w:t>
      </w:r>
      <w:r w:rsidR="0063798D" w:rsidRPr="008751F4">
        <w:rPr>
          <w:rFonts w:ascii="Times New Roman" w:hAnsi="Times New Roman" w:cs="Times New Roman"/>
          <w:sz w:val="24"/>
          <w:szCs w:val="24"/>
          <w:lang w:val="en-US"/>
        </w:rPr>
        <w:t>”</w:t>
      </w:r>
      <w:r w:rsidR="00964544" w:rsidRPr="00496F78">
        <w:rPr>
          <w:rFonts w:ascii="Times New Roman" w:hAnsi="Times New Roman" w:cs="Times New Roman"/>
          <w:color w:val="000000" w:themeColor="text1"/>
          <w:sz w:val="24"/>
          <w:szCs w:val="24"/>
          <w:lang w:val="en-US"/>
        </w:rPr>
        <w:t>.</w:t>
      </w:r>
      <w:proofErr w:type="gramEnd"/>
      <w:r w:rsidR="00964544" w:rsidRPr="00496F78">
        <w:rPr>
          <w:rFonts w:ascii="Times New Roman" w:hAnsi="Times New Roman" w:cs="Times New Roman"/>
          <w:color w:val="000000" w:themeColor="text1"/>
          <w:sz w:val="24"/>
          <w:szCs w:val="24"/>
          <w:lang w:val="en-US"/>
        </w:rPr>
        <w:t xml:space="preserve"> </w:t>
      </w:r>
      <w:r w:rsidR="00964544" w:rsidRPr="00496F78">
        <w:rPr>
          <w:rFonts w:ascii="Times New Roman" w:hAnsi="Times New Roman" w:cs="Times New Roman"/>
          <w:i/>
          <w:iCs/>
          <w:color w:val="000000" w:themeColor="text1"/>
          <w:sz w:val="24"/>
          <w:szCs w:val="24"/>
          <w:lang w:val="en-US"/>
        </w:rPr>
        <w:t>Journal of Cleaner Production</w:t>
      </w:r>
      <w:r w:rsidR="00964544" w:rsidRPr="00496F78">
        <w:rPr>
          <w:rFonts w:ascii="Times New Roman" w:hAnsi="Times New Roman" w:cs="Times New Roman"/>
          <w:color w:val="000000" w:themeColor="text1"/>
          <w:sz w:val="24"/>
          <w:szCs w:val="24"/>
          <w:lang w:val="en-US"/>
        </w:rPr>
        <w:t>, 168, 1297-1311.</w:t>
      </w:r>
    </w:p>
    <w:p w:rsidR="00B91305" w:rsidRPr="00496F78" w:rsidRDefault="00793F87" w:rsidP="005C7A9A">
      <w:pPr>
        <w:tabs>
          <w:tab w:val="left" w:pos="709"/>
        </w:tabs>
        <w:ind w:left="720" w:hanging="270"/>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Gianni M., Gotzamani</w:t>
      </w:r>
      <w:r w:rsidR="00B91305" w:rsidRPr="00496F78">
        <w:rPr>
          <w:rFonts w:ascii="Times New Roman" w:hAnsi="Times New Roman" w:cs="Times New Roman"/>
          <w:sz w:val="24"/>
          <w:szCs w:val="24"/>
          <w:lang w:val="en-US"/>
        </w:rPr>
        <w:t xml:space="preserve"> K.</w:t>
      </w:r>
      <w:r w:rsidRPr="00496F78">
        <w:rPr>
          <w:rFonts w:ascii="Times New Roman" w:hAnsi="Times New Roman" w:cs="Times New Roman"/>
          <w:sz w:val="24"/>
          <w:szCs w:val="24"/>
          <w:lang w:val="en-US"/>
        </w:rPr>
        <w:t>, Vouzas</w:t>
      </w:r>
      <w:r w:rsidR="00B91305" w:rsidRPr="00496F78">
        <w:rPr>
          <w:rFonts w:ascii="Times New Roman" w:hAnsi="Times New Roman" w:cs="Times New Roman"/>
          <w:sz w:val="24"/>
          <w:szCs w:val="24"/>
          <w:lang w:val="en-US"/>
        </w:rPr>
        <w:t xml:space="preserve"> F. (2017</w:t>
      </w:r>
      <w:r w:rsidR="00EC44B6" w:rsidRPr="00496F78">
        <w:rPr>
          <w:rFonts w:ascii="Times New Roman" w:hAnsi="Times New Roman" w:cs="Times New Roman"/>
          <w:sz w:val="24"/>
          <w:szCs w:val="24"/>
          <w:lang w:val="en-US"/>
        </w:rPr>
        <w:t>b</w:t>
      </w:r>
      <w:r w:rsidR="00B91305" w:rsidRPr="00496F78">
        <w:rPr>
          <w:rFonts w:ascii="Times New Roman" w:hAnsi="Times New Roman" w:cs="Times New Roman"/>
          <w:sz w:val="24"/>
          <w:szCs w:val="24"/>
          <w:lang w:val="en-US"/>
        </w:rPr>
        <w:t xml:space="preserve">) </w:t>
      </w:r>
      <w:r w:rsidR="00011F19" w:rsidRPr="00496F78">
        <w:rPr>
          <w:rStyle w:val="balloon"/>
          <w:rFonts w:ascii="Times New Roman" w:hAnsi="Times New Roman" w:cs="Times New Roman"/>
          <w:sz w:val="24"/>
          <w:szCs w:val="24"/>
          <w:lang w:val="en-US"/>
        </w:rPr>
        <w:t>“</w:t>
      </w:r>
      <w:r w:rsidR="00B91305" w:rsidRPr="00496F78">
        <w:rPr>
          <w:rFonts w:ascii="Times New Roman" w:hAnsi="Times New Roman" w:cs="Times New Roman"/>
          <w:sz w:val="24"/>
          <w:szCs w:val="24"/>
          <w:lang w:val="en-US"/>
        </w:rPr>
        <w:t>Food integrated management systems: dairy industry insights</w:t>
      </w:r>
      <w:r w:rsidRPr="00496F78">
        <w:rPr>
          <w:rStyle w:val="balloon"/>
          <w:rFonts w:ascii="Times New Roman" w:hAnsi="Times New Roman" w:cs="Times New Roman"/>
          <w:sz w:val="24"/>
          <w:szCs w:val="24"/>
          <w:lang w:val="en-US"/>
        </w:rPr>
        <w:t>”.</w:t>
      </w:r>
      <w:r w:rsidR="00011F19" w:rsidRPr="00496F78">
        <w:rPr>
          <w:rStyle w:val="balloon"/>
          <w:rFonts w:ascii="Times New Roman" w:hAnsi="Times New Roman" w:cs="Times New Roman"/>
          <w:sz w:val="24"/>
          <w:szCs w:val="24"/>
          <w:lang w:val="en-US"/>
        </w:rPr>
        <w:t xml:space="preserve"> </w:t>
      </w:r>
      <w:r w:rsidR="00B91305" w:rsidRPr="00496F78">
        <w:rPr>
          <w:rFonts w:ascii="Times New Roman" w:hAnsi="Times New Roman" w:cs="Times New Roman"/>
          <w:i/>
          <w:sz w:val="24"/>
          <w:szCs w:val="24"/>
          <w:lang w:val="en-US"/>
        </w:rPr>
        <w:t>International Journal of Quality &amp; Reliability Management</w:t>
      </w:r>
      <w:r w:rsidR="00B91305" w:rsidRPr="00496F78">
        <w:rPr>
          <w:rFonts w:ascii="Times New Roman" w:hAnsi="Times New Roman" w:cs="Times New Roman"/>
          <w:sz w:val="24"/>
          <w:szCs w:val="24"/>
          <w:lang w:val="en-US"/>
        </w:rPr>
        <w:t>, 34(2)</w:t>
      </w:r>
      <w:r w:rsidR="00EC44B6" w:rsidRPr="00496F78">
        <w:rPr>
          <w:rFonts w:ascii="Times New Roman" w:hAnsi="Times New Roman" w:cs="Times New Roman"/>
          <w:sz w:val="24"/>
          <w:szCs w:val="24"/>
          <w:lang w:val="en-US"/>
        </w:rPr>
        <w:t xml:space="preserve">, </w:t>
      </w:r>
      <w:r w:rsidR="00B91305" w:rsidRPr="00496F78">
        <w:rPr>
          <w:rFonts w:ascii="Times New Roman" w:hAnsi="Times New Roman" w:cs="Times New Roman"/>
          <w:sz w:val="24"/>
          <w:szCs w:val="24"/>
          <w:lang w:val="en-US"/>
        </w:rPr>
        <w:t>194-215</w:t>
      </w:r>
      <w:r w:rsidR="00EC44B6" w:rsidRPr="00496F78">
        <w:rPr>
          <w:rFonts w:ascii="Times New Roman" w:hAnsi="Times New Roman" w:cs="Times New Roman"/>
          <w:sz w:val="24"/>
          <w:szCs w:val="24"/>
          <w:lang w:val="en-US"/>
        </w:rPr>
        <w:t>.</w:t>
      </w:r>
    </w:p>
    <w:p w:rsidR="00011F19" w:rsidRPr="00496F78" w:rsidRDefault="00793F87" w:rsidP="005C7A9A">
      <w:pPr>
        <w:tabs>
          <w:tab w:val="left" w:pos="709"/>
        </w:tabs>
        <w:ind w:left="720" w:hanging="270"/>
        <w:jc w:val="both"/>
        <w:rPr>
          <w:rStyle w:val="balloon"/>
          <w:rFonts w:ascii="Times New Roman" w:hAnsi="Times New Roman" w:cs="Times New Roman"/>
          <w:sz w:val="24"/>
          <w:szCs w:val="24"/>
          <w:lang w:val="en-US"/>
        </w:rPr>
      </w:pPr>
      <w:r w:rsidRPr="00496F78">
        <w:rPr>
          <w:rStyle w:val="nlmstring-name"/>
          <w:rFonts w:ascii="Times New Roman" w:hAnsi="Times New Roman" w:cs="Times New Roman"/>
          <w:sz w:val="24"/>
          <w:szCs w:val="24"/>
          <w:lang w:val="en-US"/>
        </w:rPr>
        <w:t>Gotzamani</w:t>
      </w:r>
      <w:r w:rsidR="00011F19" w:rsidRPr="00496F78">
        <w:rPr>
          <w:rStyle w:val="nlmstring-name"/>
          <w:rFonts w:ascii="Times New Roman" w:hAnsi="Times New Roman" w:cs="Times New Roman"/>
          <w:sz w:val="24"/>
          <w:szCs w:val="24"/>
          <w:lang w:val="en-US"/>
        </w:rPr>
        <w:t xml:space="preserve"> K.</w:t>
      </w:r>
      <w:r w:rsidR="00011F19" w:rsidRPr="00496F78">
        <w:rPr>
          <w:rStyle w:val="balloon"/>
          <w:rFonts w:ascii="Times New Roman" w:hAnsi="Times New Roman" w:cs="Times New Roman"/>
          <w:sz w:val="24"/>
          <w:szCs w:val="24"/>
          <w:lang w:val="en-US"/>
        </w:rPr>
        <w:t xml:space="preserve">, </w:t>
      </w:r>
      <w:r w:rsidRPr="00496F78">
        <w:rPr>
          <w:rStyle w:val="nlmstring-name"/>
          <w:rFonts w:ascii="Times New Roman" w:hAnsi="Times New Roman" w:cs="Times New Roman"/>
          <w:sz w:val="24"/>
          <w:szCs w:val="24"/>
          <w:lang w:val="en-US"/>
        </w:rPr>
        <w:t>Longinidis</w:t>
      </w:r>
      <w:r w:rsidR="00011F19" w:rsidRPr="00496F78">
        <w:rPr>
          <w:rStyle w:val="nlmstring-name"/>
          <w:rFonts w:ascii="Times New Roman" w:hAnsi="Times New Roman" w:cs="Times New Roman"/>
          <w:sz w:val="24"/>
          <w:szCs w:val="24"/>
          <w:lang w:val="en-US"/>
        </w:rPr>
        <w:t xml:space="preserve"> P.</w:t>
      </w:r>
      <w:r w:rsidRPr="00496F78">
        <w:rPr>
          <w:rStyle w:val="balloon"/>
          <w:rFonts w:ascii="Times New Roman" w:hAnsi="Times New Roman" w:cs="Times New Roman"/>
          <w:sz w:val="24"/>
          <w:szCs w:val="24"/>
          <w:lang w:val="en-US"/>
        </w:rPr>
        <w:t xml:space="preserve">, </w:t>
      </w:r>
      <w:r w:rsidRPr="00496F78">
        <w:rPr>
          <w:rStyle w:val="nlmstring-name"/>
          <w:rFonts w:ascii="Times New Roman" w:hAnsi="Times New Roman" w:cs="Times New Roman"/>
          <w:sz w:val="24"/>
          <w:szCs w:val="24"/>
          <w:lang w:val="en-US"/>
        </w:rPr>
        <w:t>Vouzas</w:t>
      </w:r>
      <w:r w:rsidR="00011F19" w:rsidRPr="00496F78">
        <w:rPr>
          <w:rStyle w:val="nlmstring-name"/>
          <w:rFonts w:ascii="Times New Roman" w:hAnsi="Times New Roman" w:cs="Times New Roman"/>
          <w:sz w:val="24"/>
          <w:szCs w:val="24"/>
          <w:lang w:val="en-US"/>
        </w:rPr>
        <w:t xml:space="preserve"> F.</w:t>
      </w:r>
      <w:r w:rsidR="00011F19" w:rsidRPr="00496F78">
        <w:rPr>
          <w:rStyle w:val="balloon"/>
          <w:rFonts w:ascii="Times New Roman" w:hAnsi="Times New Roman" w:cs="Times New Roman"/>
          <w:sz w:val="24"/>
          <w:szCs w:val="24"/>
          <w:lang w:val="en-US"/>
        </w:rPr>
        <w:t xml:space="preserve"> (</w:t>
      </w:r>
      <w:r w:rsidR="00011F19" w:rsidRPr="00496F78">
        <w:rPr>
          <w:rStyle w:val="nlmyear"/>
          <w:rFonts w:ascii="Times New Roman" w:hAnsi="Times New Roman" w:cs="Times New Roman"/>
          <w:sz w:val="24"/>
          <w:szCs w:val="24"/>
          <w:lang w:val="en-US"/>
        </w:rPr>
        <w:t>2010</w:t>
      </w:r>
      <w:r w:rsidRPr="00496F78">
        <w:rPr>
          <w:rStyle w:val="balloon"/>
          <w:rFonts w:ascii="Times New Roman" w:hAnsi="Times New Roman" w:cs="Times New Roman"/>
          <w:sz w:val="24"/>
          <w:szCs w:val="24"/>
          <w:lang w:val="en-US"/>
        </w:rPr>
        <w:t>).</w:t>
      </w:r>
      <w:r w:rsidR="00011F19" w:rsidRPr="00496F78">
        <w:rPr>
          <w:rStyle w:val="balloon"/>
          <w:rFonts w:ascii="Times New Roman" w:hAnsi="Times New Roman" w:cs="Times New Roman"/>
          <w:sz w:val="24"/>
          <w:szCs w:val="24"/>
          <w:lang w:val="en-US"/>
        </w:rPr>
        <w:t xml:space="preserve"> “</w:t>
      </w:r>
      <w:r w:rsidR="00011F19" w:rsidRPr="00496F78">
        <w:rPr>
          <w:rStyle w:val="nlmarticle-title"/>
          <w:rFonts w:ascii="Times New Roman" w:hAnsi="Times New Roman" w:cs="Times New Roman"/>
          <w:sz w:val="24"/>
          <w:szCs w:val="24"/>
          <w:lang w:val="en-US"/>
        </w:rPr>
        <w:t>The logistics services outsourcing dilemma: quality management and financial performance perspectives</w:t>
      </w:r>
      <w:r w:rsidRPr="00496F78">
        <w:rPr>
          <w:rStyle w:val="balloon"/>
          <w:rFonts w:ascii="Times New Roman" w:hAnsi="Times New Roman" w:cs="Times New Roman"/>
          <w:sz w:val="24"/>
          <w:szCs w:val="24"/>
          <w:lang w:val="en-US"/>
        </w:rPr>
        <w:t>”.</w:t>
      </w:r>
      <w:r w:rsidR="00011F19" w:rsidRPr="00496F78">
        <w:rPr>
          <w:rStyle w:val="balloon"/>
          <w:rFonts w:ascii="Times New Roman" w:hAnsi="Times New Roman" w:cs="Times New Roman"/>
          <w:sz w:val="24"/>
          <w:szCs w:val="24"/>
          <w:lang w:val="en-US"/>
        </w:rPr>
        <w:t xml:space="preserve"> </w:t>
      </w:r>
      <w:r w:rsidR="00011F19" w:rsidRPr="00496F78">
        <w:rPr>
          <w:rStyle w:val="balloon"/>
          <w:rFonts w:ascii="Times New Roman" w:hAnsi="Times New Roman" w:cs="Times New Roman"/>
          <w:i/>
          <w:sz w:val="24"/>
          <w:szCs w:val="24"/>
          <w:lang w:val="en-US"/>
        </w:rPr>
        <w:t>Supply Chain Management: An International Journal</w:t>
      </w:r>
      <w:r w:rsidR="00011F19" w:rsidRPr="00496F78">
        <w:rPr>
          <w:rStyle w:val="balloon"/>
          <w:rFonts w:ascii="Times New Roman" w:hAnsi="Times New Roman" w:cs="Times New Roman"/>
          <w:sz w:val="24"/>
          <w:szCs w:val="24"/>
          <w:lang w:val="en-US"/>
        </w:rPr>
        <w:t xml:space="preserve">, 15(6), </w:t>
      </w:r>
      <w:r w:rsidR="00011F19" w:rsidRPr="00496F78">
        <w:rPr>
          <w:rStyle w:val="nlmfpage"/>
          <w:rFonts w:ascii="Times New Roman" w:hAnsi="Times New Roman" w:cs="Times New Roman"/>
          <w:sz w:val="24"/>
          <w:szCs w:val="24"/>
          <w:lang w:val="en-US"/>
        </w:rPr>
        <w:t>438</w:t>
      </w:r>
      <w:r w:rsidR="00011F19" w:rsidRPr="00496F78">
        <w:rPr>
          <w:rStyle w:val="balloon"/>
          <w:rFonts w:ascii="Times New Roman" w:hAnsi="Times New Roman" w:cs="Times New Roman"/>
          <w:sz w:val="24"/>
          <w:szCs w:val="24"/>
          <w:lang w:val="en-US"/>
        </w:rPr>
        <w:t>-</w:t>
      </w:r>
      <w:r w:rsidR="00011F19" w:rsidRPr="00496F78">
        <w:rPr>
          <w:rStyle w:val="nlmlpage"/>
          <w:rFonts w:ascii="Times New Roman" w:hAnsi="Times New Roman" w:cs="Times New Roman"/>
          <w:sz w:val="24"/>
          <w:szCs w:val="24"/>
          <w:lang w:val="en-US"/>
        </w:rPr>
        <w:t>453</w:t>
      </w:r>
      <w:r w:rsidR="00011F19" w:rsidRPr="00496F78">
        <w:rPr>
          <w:rStyle w:val="balloon"/>
          <w:rFonts w:ascii="Times New Roman" w:hAnsi="Times New Roman" w:cs="Times New Roman"/>
          <w:sz w:val="24"/>
          <w:szCs w:val="24"/>
          <w:lang w:val="en-US"/>
        </w:rPr>
        <w:t>.</w:t>
      </w:r>
    </w:p>
    <w:p w:rsidR="00011F19" w:rsidRPr="00496F78" w:rsidRDefault="00793F87" w:rsidP="005C7A9A">
      <w:pPr>
        <w:tabs>
          <w:tab w:val="left" w:pos="709"/>
        </w:tabs>
        <w:ind w:left="720" w:hanging="270"/>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Gotzamani</w:t>
      </w:r>
      <w:r w:rsidR="00011F19" w:rsidRPr="00496F78">
        <w:rPr>
          <w:rFonts w:ascii="Times New Roman" w:hAnsi="Times New Roman" w:cs="Times New Roman"/>
          <w:sz w:val="24"/>
          <w:szCs w:val="24"/>
          <w:lang w:val="en-US"/>
        </w:rPr>
        <w:t xml:space="preserve"> K</w:t>
      </w:r>
      <w:r w:rsidR="00B75980" w:rsidRPr="00496F78">
        <w:rPr>
          <w:rFonts w:ascii="Times New Roman" w:hAnsi="Times New Roman" w:cs="Times New Roman"/>
          <w:sz w:val="24"/>
          <w:szCs w:val="24"/>
          <w:lang w:val="en-US"/>
        </w:rPr>
        <w:t>.D.</w:t>
      </w:r>
      <w:r w:rsidRPr="00496F78">
        <w:rPr>
          <w:rFonts w:ascii="Times New Roman" w:hAnsi="Times New Roman" w:cs="Times New Roman"/>
          <w:sz w:val="24"/>
          <w:szCs w:val="24"/>
          <w:lang w:val="en-US"/>
        </w:rPr>
        <w:t>, Tsiotras G.D. (2002).</w:t>
      </w:r>
      <w:r w:rsidR="00B75980" w:rsidRPr="00496F78">
        <w:rPr>
          <w:rFonts w:ascii="Times New Roman" w:hAnsi="Times New Roman" w:cs="Times New Roman"/>
          <w:sz w:val="24"/>
          <w:szCs w:val="24"/>
          <w:lang w:val="en-US"/>
        </w:rPr>
        <w:t xml:space="preserve"> </w:t>
      </w:r>
      <w:r w:rsidR="00B75980" w:rsidRPr="008751F4">
        <w:rPr>
          <w:rStyle w:val="normaltextrun"/>
          <w:rFonts w:ascii="Times New Roman" w:hAnsi="Times New Roman" w:cs="Times New Roman"/>
          <w:color w:val="000000"/>
          <w:sz w:val="24"/>
          <w:szCs w:val="24"/>
          <w:shd w:val="clear" w:color="auto" w:fill="FFFFFF"/>
          <w:lang w:val="en-US"/>
        </w:rPr>
        <w:t>“</w:t>
      </w:r>
      <w:r w:rsidR="00011F19" w:rsidRPr="00496F78">
        <w:rPr>
          <w:rFonts w:ascii="Times New Roman" w:hAnsi="Times New Roman" w:cs="Times New Roman"/>
          <w:sz w:val="24"/>
          <w:szCs w:val="24"/>
          <w:lang w:val="en-US"/>
        </w:rPr>
        <w:t>The true motives behind ISO 9000 certification: Their effect on the overall certification benefits and long term contribution towards TQM</w:t>
      </w:r>
      <w:r w:rsidR="00B75980" w:rsidRPr="008751F4">
        <w:rPr>
          <w:rFonts w:ascii="Times New Roman" w:hAnsi="Times New Roman" w:cs="Times New Roman"/>
          <w:sz w:val="24"/>
          <w:szCs w:val="24"/>
          <w:lang w:val="en-US"/>
        </w:rPr>
        <w:t>”</w:t>
      </w:r>
      <w:r w:rsidRPr="00496F78">
        <w:rPr>
          <w:rFonts w:ascii="Times New Roman" w:hAnsi="Times New Roman" w:cs="Times New Roman"/>
          <w:sz w:val="24"/>
          <w:szCs w:val="24"/>
          <w:lang w:val="en-US"/>
        </w:rPr>
        <w:t>.</w:t>
      </w:r>
      <w:r w:rsidR="00011F19" w:rsidRPr="00496F78">
        <w:rPr>
          <w:rFonts w:ascii="Times New Roman" w:hAnsi="Times New Roman" w:cs="Times New Roman"/>
          <w:sz w:val="24"/>
          <w:szCs w:val="24"/>
          <w:lang w:val="en-US"/>
        </w:rPr>
        <w:t xml:space="preserve"> </w:t>
      </w:r>
      <w:r w:rsidR="00011F19" w:rsidRPr="00496F78">
        <w:rPr>
          <w:rFonts w:ascii="Times New Roman" w:hAnsi="Times New Roman" w:cs="Times New Roman"/>
          <w:i/>
          <w:sz w:val="24"/>
          <w:szCs w:val="24"/>
          <w:lang w:val="en-US"/>
        </w:rPr>
        <w:t>International Journal of Quality &amp; Reliability Management</w:t>
      </w:r>
      <w:r w:rsidR="00011F19" w:rsidRPr="00496F78">
        <w:rPr>
          <w:rFonts w:ascii="Times New Roman" w:hAnsi="Times New Roman" w:cs="Times New Roman"/>
          <w:sz w:val="24"/>
          <w:szCs w:val="24"/>
          <w:lang w:val="en-US"/>
        </w:rPr>
        <w:t>, 19(2), 151-169.</w:t>
      </w:r>
    </w:p>
    <w:p w:rsidR="009E3C41" w:rsidRPr="00496F78" w:rsidRDefault="00793F87" w:rsidP="005C7A9A">
      <w:pPr>
        <w:tabs>
          <w:tab w:val="left" w:pos="360"/>
          <w:tab w:val="left" w:pos="709"/>
        </w:tabs>
        <w:ind w:left="720" w:hanging="270"/>
        <w:jc w:val="both"/>
        <w:rPr>
          <w:rFonts w:ascii="Times New Roman" w:hAnsi="Times New Roman" w:cs="Times New Roman"/>
          <w:sz w:val="24"/>
          <w:szCs w:val="24"/>
          <w:shd w:val="clear" w:color="auto" w:fill="FFFFFF"/>
          <w:lang w:val="en-US"/>
        </w:rPr>
      </w:pPr>
      <w:proofErr w:type="gramStart"/>
      <w:r w:rsidRPr="00496F78">
        <w:rPr>
          <w:rFonts w:ascii="Times New Roman" w:hAnsi="Times New Roman" w:cs="Times New Roman"/>
          <w:sz w:val="24"/>
          <w:szCs w:val="24"/>
          <w:shd w:val="clear" w:color="auto" w:fill="FFFFFF"/>
          <w:lang w:val="en-US"/>
        </w:rPr>
        <w:t>Hair J.F., Black W.C., Babin B.J., Anderson</w:t>
      </w:r>
      <w:r w:rsidR="009E3C41" w:rsidRPr="00496F78">
        <w:rPr>
          <w:rFonts w:ascii="Times New Roman" w:hAnsi="Times New Roman" w:cs="Times New Roman"/>
          <w:sz w:val="24"/>
          <w:szCs w:val="24"/>
          <w:shd w:val="clear" w:color="auto" w:fill="FFFFFF"/>
          <w:lang w:val="en-US"/>
        </w:rPr>
        <w:t xml:space="preserve"> R.E. (</w:t>
      </w:r>
      <w:r w:rsidRPr="00496F78">
        <w:rPr>
          <w:rFonts w:ascii="Times New Roman" w:hAnsi="Times New Roman" w:cs="Times New Roman"/>
          <w:sz w:val="24"/>
          <w:szCs w:val="24"/>
          <w:shd w:val="clear" w:color="auto" w:fill="FFFFFF"/>
          <w:lang w:val="en-US"/>
        </w:rPr>
        <w:t>2014).</w:t>
      </w:r>
      <w:proofErr w:type="gramEnd"/>
      <w:r w:rsidR="009E3C41" w:rsidRPr="00496F78">
        <w:rPr>
          <w:rFonts w:ascii="Times New Roman" w:hAnsi="Times New Roman" w:cs="Times New Roman"/>
          <w:sz w:val="24"/>
          <w:szCs w:val="24"/>
          <w:shd w:val="clear" w:color="auto" w:fill="FFFFFF"/>
          <w:lang w:val="en-US"/>
        </w:rPr>
        <w:t xml:space="preserve"> </w:t>
      </w:r>
      <w:r w:rsidR="009E3C41" w:rsidRPr="00496F78">
        <w:rPr>
          <w:rFonts w:ascii="Times New Roman" w:hAnsi="Times New Roman" w:cs="Times New Roman"/>
          <w:i/>
          <w:sz w:val="24"/>
          <w:szCs w:val="24"/>
          <w:shd w:val="clear" w:color="auto" w:fill="FFFFFF"/>
          <w:lang w:val="en-US"/>
        </w:rPr>
        <w:t>Multivariate Data Analysis</w:t>
      </w:r>
      <w:r w:rsidRPr="00496F78">
        <w:rPr>
          <w:rFonts w:ascii="Times New Roman" w:hAnsi="Times New Roman" w:cs="Times New Roman"/>
          <w:sz w:val="24"/>
          <w:szCs w:val="24"/>
          <w:shd w:val="clear" w:color="auto" w:fill="FFFFFF"/>
          <w:lang w:val="en-US"/>
        </w:rPr>
        <w:t>.</w:t>
      </w:r>
      <w:r w:rsidR="009E3C41" w:rsidRPr="00496F78">
        <w:rPr>
          <w:rFonts w:ascii="Times New Roman" w:hAnsi="Times New Roman" w:cs="Times New Roman"/>
          <w:sz w:val="24"/>
          <w:szCs w:val="24"/>
          <w:shd w:val="clear" w:color="auto" w:fill="FFFFFF"/>
          <w:lang w:val="en-US"/>
        </w:rPr>
        <w:t xml:space="preserve"> 7th Ed. - Pearson New International Edition, Pearson Education Limited, Harlow, Essex, England.</w:t>
      </w:r>
    </w:p>
    <w:p w:rsidR="00D737F7" w:rsidRPr="008751F4" w:rsidRDefault="00D737F7" w:rsidP="005C7A9A">
      <w:pPr>
        <w:tabs>
          <w:tab w:val="left" w:pos="1080"/>
        </w:tabs>
        <w:ind w:left="720" w:hanging="274"/>
        <w:jc w:val="both"/>
        <w:rPr>
          <w:rStyle w:val="eop"/>
          <w:rFonts w:ascii="Times New Roman" w:hAnsi="Times New Roman" w:cs="Times New Roman"/>
          <w:color w:val="000000"/>
          <w:sz w:val="24"/>
          <w:szCs w:val="24"/>
          <w:shd w:val="clear" w:color="auto" w:fill="FFFFFF"/>
          <w:lang w:val="en-US"/>
        </w:rPr>
      </w:pPr>
      <w:r w:rsidRPr="008751F4">
        <w:rPr>
          <w:rStyle w:val="normaltextrun"/>
          <w:rFonts w:ascii="Times New Roman" w:hAnsi="Times New Roman" w:cs="Times New Roman"/>
          <w:color w:val="000000"/>
          <w:sz w:val="24"/>
          <w:szCs w:val="24"/>
          <w:shd w:val="clear" w:color="auto" w:fill="FFFFFF"/>
          <w:lang w:val="en-US"/>
        </w:rPr>
        <w:t>Heras-</w:t>
      </w:r>
      <w:r w:rsidRPr="008751F4">
        <w:rPr>
          <w:rStyle w:val="spellingerror"/>
          <w:rFonts w:ascii="Times New Roman" w:hAnsi="Times New Roman" w:cs="Times New Roman"/>
          <w:color w:val="000000"/>
          <w:sz w:val="24"/>
          <w:szCs w:val="24"/>
          <w:shd w:val="clear" w:color="auto" w:fill="FFFFFF"/>
          <w:lang w:val="en-US"/>
        </w:rPr>
        <w:t>Saizarbitoria</w:t>
      </w:r>
      <w:r w:rsidR="00793F87">
        <w:rPr>
          <w:rStyle w:val="normaltextrun"/>
          <w:rFonts w:ascii="Times New Roman" w:hAnsi="Times New Roman" w:cs="Times New Roman"/>
          <w:color w:val="000000"/>
          <w:sz w:val="24"/>
          <w:szCs w:val="24"/>
          <w:shd w:val="clear" w:color="auto" w:fill="FFFFFF"/>
          <w:lang w:val="en-US"/>
        </w:rPr>
        <w:t xml:space="preserve"> I. (2011).</w:t>
      </w:r>
      <w:r w:rsidRPr="008751F4">
        <w:rPr>
          <w:rStyle w:val="normaltextrun"/>
          <w:rFonts w:ascii="Times New Roman" w:hAnsi="Times New Roman" w:cs="Times New Roman"/>
          <w:color w:val="000000"/>
          <w:sz w:val="24"/>
          <w:szCs w:val="24"/>
          <w:shd w:val="clear" w:color="auto" w:fill="FFFFFF"/>
          <w:lang w:val="en-US"/>
        </w:rPr>
        <w:t xml:space="preserve"> “</w:t>
      </w:r>
      <w:r w:rsidRPr="008751F4">
        <w:rPr>
          <w:rStyle w:val="normaltextrun"/>
          <w:rFonts w:ascii="Times New Roman" w:hAnsi="Times New Roman" w:cs="Times New Roman"/>
          <w:bCs/>
          <w:color w:val="000000"/>
          <w:sz w:val="24"/>
          <w:szCs w:val="24"/>
          <w:shd w:val="clear" w:color="auto" w:fill="FFFFFF"/>
          <w:lang w:val="en-US"/>
        </w:rPr>
        <w:t xml:space="preserve">Internalization </w:t>
      </w:r>
      <w:r w:rsidRPr="008751F4">
        <w:rPr>
          <w:rStyle w:val="normaltextrun"/>
          <w:rFonts w:ascii="Times New Roman" w:hAnsi="Times New Roman" w:cs="Times New Roman"/>
          <w:color w:val="000000"/>
          <w:sz w:val="24"/>
          <w:szCs w:val="24"/>
          <w:shd w:val="clear" w:color="auto" w:fill="FFFFFF"/>
          <w:lang w:val="en-US"/>
        </w:rPr>
        <w:t xml:space="preserve">of </w:t>
      </w:r>
      <w:r w:rsidR="00793F87">
        <w:rPr>
          <w:rStyle w:val="normaltextrun"/>
          <w:rFonts w:ascii="Times New Roman" w:hAnsi="Times New Roman" w:cs="Times New Roman"/>
          <w:color w:val="000000"/>
          <w:sz w:val="24"/>
          <w:szCs w:val="24"/>
          <w:shd w:val="clear" w:color="auto" w:fill="FFFFFF"/>
          <w:lang w:val="en-US"/>
        </w:rPr>
        <w:t>ISO 9000: an exploratory study”.</w:t>
      </w:r>
      <w:r w:rsidRPr="008751F4">
        <w:rPr>
          <w:rStyle w:val="normaltextrun"/>
          <w:rFonts w:ascii="Times New Roman" w:hAnsi="Times New Roman" w:cs="Times New Roman"/>
          <w:color w:val="000000"/>
          <w:sz w:val="24"/>
          <w:szCs w:val="24"/>
          <w:shd w:val="clear" w:color="auto" w:fill="FFFFFF"/>
          <w:lang w:val="en-US"/>
        </w:rPr>
        <w:t xml:space="preserve"> </w:t>
      </w:r>
      <w:r w:rsidRPr="008751F4">
        <w:rPr>
          <w:rStyle w:val="normaltextrun"/>
          <w:rFonts w:ascii="Times New Roman" w:hAnsi="Times New Roman" w:cs="Times New Roman"/>
          <w:i/>
          <w:iCs/>
          <w:color w:val="000000"/>
          <w:sz w:val="24"/>
          <w:szCs w:val="24"/>
          <w:shd w:val="clear" w:color="auto" w:fill="FFFFFF"/>
          <w:lang w:val="en-US"/>
        </w:rPr>
        <w:t>Industrial Management &amp; Data Systems</w:t>
      </w:r>
      <w:r w:rsidRPr="008751F4">
        <w:rPr>
          <w:rStyle w:val="normaltextrun"/>
          <w:rFonts w:ascii="Times New Roman" w:hAnsi="Times New Roman" w:cs="Times New Roman"/>
          <w:color w:val="000000"/>
          <w:sz w:val="24"/>
          <w:szCs w:val="24"/>
          <w:shd w:val="clear" w:color="auto" w:fill="FFFFFF"/>
          <w:lang w:val="en-US"/>
        </w:rPr>
        <w:t>, 111(8), 1214-1237.</w:t>
      </w:r>
    </w:p>
    <w:p w:rsidR="009D064B" w:rsidRPr="00496F78" w:rsidRDefault="009D064B" w:rsidP="005C7A9A">
      <w:pPr>
        <w:tabs>
          <w:tab w:val="left" w:pos="360"/>
        </w:tabs>
        <w:ind w:left="720" w:hanging="270"/>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 xml:space="preserve">ISO (2018). </w:t>
      </w:r>
      <w:proofErr w:type="gramStart"/>
      <w:r w:rsidRPr="00496F78">
        <w:rPr>
          <w:rFonts w:ascii="Times New Roman" w:hAnsi="Times New Roman" w:cs="Times New Roman"/>
          <w:i/>
          <w:sz w:val="24"/>
          <w:szCs w:val="24"/>
          <w:lang w:val="en-US"/>
        </w:rPr>
        <w:t>The Integrated Use of Management System Standards (IUMSS) ISO HANDBOOK</w:t>
      </w:r>
      <w:r w:rsidRPr="008751F4">
        <w:rPr>
          <w:rFonts w:ascii="Times New Roman" w:hAnsi="Times New Roman" w:cs="Times New Roman"/>
          <w:sz w:val="24"/>
          <w:szCs w:val="24"/>
          <w:lang w:val="en-US"/>
        </w:rPr>
        <w:t>.</w:t>
      </w:r>
      <w:proofErr w:type="gramEnd"/>
      <w:r w:rsidRPr="00496F78">
        <w:rPr>
          <w:rFonts w:ascii="Times New Roman" w:hAnsi="Times New Roman" w:cs="Times New Roman"/>
          <w:sz w:val="24"/>
          <w:szCs w:val="24"/>
          <w:lang w:val="en-US"/>
        </w:rPr>
        <w:t xml:space="preserve"> 2</w:t>
      </w:r>
      <w:r w:rsidRPr="00496F78">
        <w:rPr>
          <w:rFonts w:ascii="Times New Roman" w:hAnsi="Times New Roman" w:cs="Times New Roman"/>
          <w:sz w:val="24"/>
          <w:szCs w:val="24"/>
          <w:vertAlign w:val="superscript"/>
          <w:lang w:val="en-US"/>
        </w:rPr>
        <w:t>nd</w:t>
      </w:r>
      <w:r w:rsidRPr="00496F78">
        <w:rPr>
          <w:rFonts w:ascii="Times New Roman" w:hAnsi="Times New Roman" w:cs="Times New Roman"/>
          <w:sz w:val="24"/>
          <w:szCs w:val="24"/>
          <w:lang w:val="en-US"/>
        </w:rPr>
        <w:t xml:space="preserve"> ed., Switzerland.</w:t>
      </w:r>
    </w:p>
    <w:p w:rsidR="00964544" w:rsidRPr="008751F4" w:rsidRDefault="00964544" w:rsidP="005C7A9A">
      <w:pPr>
        <w:tabs>
          <w:tab w:val="left" w:pos="360"/>
        </w:tabs>
        <w:ind w:left="720" w:hanging="270"/>
        <w:jc w:val="both"/>
        <w:rPr>
          <w:rFonts w:ascii="Times New Roman" w:hAnsi="Times New Roman" w:cs="Times New Roman"/>
          <w:sz w:val="24"/>
          <w:szCs w:val="24"/>
          <w:lang w:val="en-US"/>
        </w:rPr>
      </w:pPr>
      <w:r w:rsidRPr="008751F4">
        <w:rPr>
          <w:rFonts w:ascii="Times New Roman" w:hAnsi="Times New Roman" w:cs="Times New Roman"/>
          <w:sz w:val="24"/>
          <w:szCs w:val="24"/>
          <w:lang w:val="en-US"/>
        </w:rPr>
        <w:t>Ketokivi</w:t>
      </w:r>
      <w:r w:rsidR="00DA3C66">
        <w:rPr>
          <w:rFonts w:ascii="Times New Roman" w:hAnsi="Times New Roman" w:cs="Times New Roman"/>
          <w:sz w:val="24"/>
          <w:szCs w:val="24"/>
          <w:lang w:val="en-US"/>
        </w:rPr>
        <w:t xml:space="preserve"> M.A.,</w:t>
      </w:r>
      <w:r w:rsidRPr="008751F4">
        <w:rPr>
          <w:rFonts w:ascii="Times New Roman" w:hAnsi="Times New Roman" w:cs="Times New Roman"/>
          <w:sz w:val="24"/>
          <w:szCs w:val="24"/>
          <w:lang w:val="en-US"/>
        </w:rPr>
        <w:t xml:space="preserve"> Schroeder, R.G. (2004). </w:t>
      </w:r>
      <w:r w:rsidR="00F77D82" w:rsidRPr="008751F4">
        <w:rPr>
          <w:rFonts w:ascii="Times New Roman" w:hAnsi="Times New Roman" w:cs="Times New Roman"/>
          <w:sz w:val="24"/>
          <w:szCs w:val="24"/>
          <w:lang w:val="en-US"/>
        </w:rPr>
        <w:t>“</w:t>
      </w:r>
      <w:r w:rsidRPr="008751F4">
        <w:rPr>
          <w:rFonts w:ascii="Times New Roman" w:hAnsi="Times New Roman" w:cs="Times New Roman"/>
          <w:sz w:val="24"/>
          <w:szCs w:val="24"/>
          <w:lang w:val="en-US"/>
        </w:rPr>
        <w:t>Strategic, structural contingency and institutional explanations in the adoption of innovative manufacturing practices</w:t>
      </w:r>
      <w:r w:rsidR="00F77D82" w:rsidRPr="008751F4">
        <w:rPr>
          <w:rFonts w:ascii="Times New Roman" w:hAnsi="Times New Roman" w:cs="Times New Roman"/>
          <w:sz w:val="24"/>
          <w:szCs w:val="24"/>
          <w:lang w:val="en-US"/>
        </w:rPr>
        <w:t>”</w:t>
      </w:r>
      <w:r w:rsidRPr="008751F4">
        <w:rPr>
          <w:rFonts w:ascii="Times New Roman" w:hAnsi="Times New Roman" w:cs="Times New Roman"/>
          <w:sz w:val="24"/>
          <w:szCs w:val="24"/>
          <w:lang w:val="en-US"/>
        </w:rPr>
        <w:t xml:space="preserve">. </w:t>
      </w:r>
      <w:r w:rsidRPr="008751F4">
        <w:rPr>
          <w:rFonts w:ascii="Times New Roman" w:hAnsi="Times New Roman" w:cs="Times New Roman"/>
          <w:i/>
          <w:sz w:val="24"/>
          <w:szCs w:val="24"/>
          <w:lang w:val="en-US"/>
        </w:rPr>
        <w:t>Journal of Operations Management</w:t>
      </w:r>
      <w:r w:rsidRPr="008751F4">
        <w:rPr>
          <w:rFonts w:ascii="Times New Roman" w:hAnsi="Times New Roman" w:cs="Times New Roman"/>
          <w:sz w:val="24"/>
          <w:szCs w:val="24"/>
          <w:lang w:val="en-US"/>
        </w:rPr>
        <w:t>, 22(1), 63-89.</w:t>
      </w:r>
    </w:p>
    <w:p w:rsidR="00DC5A74" w:rsidRPr="006A1A6D" w:rsidRDefault="00DA3C66" w:rsidP="005C7A9A">
      <w:pPr>
        <w:ind w:left="720" w:hanging="270"/>
        <w:jc w:val="both"/>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lastRenderedPageBreak/>
        <w:t>Luk C.-L., Yau</w:t>
      </w:r>
      <w:r w:rsidR="00DC5A74" w:rsidRPr="008751F4">
        <w:rPr>
          <w:rFonts w:ascii="Times New Roman" w:hAnsi="Times New Roman" w:cs="Times New Roman"/>
          <w:color w:val="000000"/>
          <w:sz w:val="24"/>
          <w:szCs w:val="24"/>
          <w:shd w:val="clear" w:color="auto" w:fill="FFFFFF"/>
          <w:lang w:val="en-GB"/>
        </w:rPr>
        <w:t xml:space="preserve"> O.H.M</w:t>
      </w:r>
      <w:r>
        <w:rPr>
          <w:rFonts w:ascii="Times New Roman" w:hAnsi="Times New Roman" w:cs="Times New Roman"/>
          <w:color w:val="000000"/>
          <w:sz w:val="24"/>
          <w:szCs w:val="24"/>
          <w:shd w:val="clear" w:color="auto" w:fill="FFFFFF"/>
          <w:lang w:val="en-GB"/>
        </w:rPr>
        <w:t>., Chow R.P.M., Tse A.C.B.,</w:t>
      </w:r>
      <w:r w:rsidR="00DC5A74" w:rsidRPr="008751F4">
        <w:rPr>
          <w:rFonts w:ascii="Times New Roman" w:hAnsi="Times New Roman" w:cs="Times New Roman"/>
          <w:color w:val="000000"/>
          <w:sz w:val="24"/>
          <w:szCs w:val="24"/>
          <w:shd w:val="clear" w:color="auto" w:fill="FFFFFF"/>
          <w:lang w:val="en-GB"/>
        </w:rPr>
        <w:t xml:space="preserve"> Sin, L.Y.M. (</w:t>
      </w:r>
      <w:r w:rsidR="00DC5A74" w:rsidRPr="008751F4">
        <w:rPr>
          <w:rFonts w:ascii="Times New Roman" w:hAnsi="Times New Roman" w:cs="Times New Roman"/>
          <w:iCs/>
          <w:color w:val="000000"/>
          <w:sz w:val="24"/>
          <w:szCs w:val="24"/>
          <w:shd w:val="clear" w:color="auto" w:fill="FFFFFF"/>
          <w:lang w:val="en-GB"/>
        </w:rPr>
        <w:t>2005</w:t>
      </w:r>
      <w:r>
        <w:rPr>
          <w:rFonts w:ascii="Times New Roman" w:hAnsi="Times New Roman" w:cs="Times New Roman"/>
          <w:color w:val="000000"/>
          <w:sz w:val="24"/>
          <w:szCs w:val="24"/>
          <w:shd w:val="clear" w:color="auto" w:fill="FFFFFF"/>
          <w:lang w:val="en-GB"/>
        </w:rPr>
        <w:t>).</w:t>
      </w:r>
      <w:r w:rsidR="00DC5A74" w:rsidRPr="008751F4">
        <w:rPr>
          <w:rFonts w:ascii="Times New Roman" w:hAnsi="Times New Roman" w:cs="Times New Roman"/>
          <w:color w:val="000000"/>
          <w:sz w:val="24"/>
          <w:szCs w:val="24"/>
          <w:shd w:val="clear" w:color="auto" w:fill="FFFFFF"/>
          <w:lang w:val="en-GB"/>
        </w:rPr>
        <w:t xml:space="preserve"> “Stak</w:t>
      </w:r>
      <w:r w:rsidR="00DC5A74" w:rsidRPr="006A1A6D">
        <w:rPr>
          <w:rFonts w:ascii="Times New Roman" w:hAnsi="Times New Roman" w:cs="Times New Roman"/>
          <w:color w:val="000000"/>
          <w:sz w:val="24"/>
          <w:szCs w:val="24"/>
          <w:shd w:val="clear" w:color="auto" w:fill="FFFFFF"/>
          <w:lang w:val="en-GB"/>
        </w:rPr>
        <w:t>eholder orientation and business performance: The case</w:t>
      </w:r>
      <w:r>
        <w:rPr>
          <w:rFonts w:ascii="Times New Roman" w:hAnsi="Times New Roman" w:cs="Times New Roman"/>
          <w:color w:val="000000"/>
          <w:sz w:val="24"/>
          <w:szCs w:val="24"/>
          <w:shd w:val="clear" w:color="auto" w:fill="FFFFFF"/>
          <w:lang w:val="en-GB"/>
        </w:rPr>
        <w:t xml:space="preserve"> of service companies in China”.</w:t>
      </w:r>
      <w:r w:rsidR="00DC5A74" w:rsidRPr="006A1A6D">
        <w:rPr>
          <w:rFonts w:ascii="Times New Roman" w:hAnsi="Times New Roman" w:cs="Times New Roman"/>
          <w:color w:val="000000"/>
          <w:sz w:val="24"/>
          <w:szCs w:val="24"/>
          <w:shd w:val="clear" w:color="auto" w:fill="FFFFFF"/>
          <w:lang w:val="en-GB"/>
        </w:rPr>
        <w:t xml:space="preserve"> </w:t>
      </w:r>
      <w:r w:rsidR="00DC5A74" w:rsidRPr="006A1A6D">
        <w:rPr>
          <w:rFonts w:ascii="Times New Roman" w:hAnsi="Times New Roman" w:cs="Times New Roman"/>
          <w:i/>
          <w:color w:val="000000"/>
          <w:sz w:val="24"/>
          <w:szCs w:val="24"/>
          <w:shd w:val="clear" w:color="auto" w:fill="FFFFFF"/>
          <w:lang w:val="en-GB"/>
        </w:rPr>
        <w:t>Journal of International Marketing</w:t>
      </w:r>
      <w:r w:rsidR="00DC5A74" w:rsidRPr="006A1A6D">
        <w:rPr>
          <w:rFonts w:ascii="Times New Roman" w:hAnsi="Times New Roman" w:cs="Times New Roman"/>
          <w:color w:val="000000"/>
          <w:sz w:val="24"/>
          <w:szCs w:val="24"/>
          <w:shd w:val="clear" w:color="auto" w:fill="FFFFFF"/>
          <w:lang w:val="en-GB"/>
        </w:rPr>
        <w:t>, 13</w:t>
      </w:r>
      <w:r w:rsidR="00732D26">
        <w:rPr>
          <w:rFonts w:ascii="Times New Roman" w:hAnsi="Times New Roman" w:cs="Times New Roman"/>
          <w:color w:val="000000"/>
          <w:sz w:val="24"/>
          <w:szCs w:val="24"/>
          <w:shd w:val="clear" w:color="auto" w:fill="FFFFFF"/>
          <w:lang w:val="en-GB"/>
        </w:rPr>
        <w:t>(</w:t>
      </w:r>
      <w:r w:rsidR="00DC5A74" w:rsidRPr="006A1A6D">
        <w:rPr>
          <w:rFonts w:ascii="Times New Roman" w:hAnsi="Times New Roman" w:cs="Times New Roman"/>
          <w:color w:val="000000"/>
          <w:sz w:val="24"/>
          <w:szCs w:val="24"/>
          <w:shd w:val="clear" w:color="auto" w:fill="FFFFFF"/>
          <w:lang w:val="en-GB"/>
        </w:rPr>
        <w:t>1</w:t>
      </w:r>
      <w:r w:rsidR="00732D26">
        <w:rPr>
          <w:rFonts w:ascii="Times New Roman" w:hAnsi="Times New Roman" w:cs="Times New Roman"/>
          <w:color w:val="000000"/>
          <w:sz w:val="24"/>
          <w:szCs w:val="24"/>
          <w:shd w:val="clear" w:color="auto" w:fill="FFFFFF"/>
          <w:lang w:val="en-GB"/>
        </w:rPr>
        <w:t>)</w:t>
      </w:r>
      <w:r w:rsidR="00DC5A74" w:rsidRPr="006A1A6D">
        <w:rPr>
          <w:rFonts w:ascii="Times New Roman" w:hAnsi="Times New Roman" w:cs="Times New Roman"/>
          <w:color w:val="000000"/>
          <w:sz w:val="24"/>
          <w:szCs w:val="24"/>
          <w:shd w:val="clear" w:color="auto" w:fill="FFFFFF"/>
          <w:lang w:val="en-GB"/>
        </w:rPr>
        <w:t>, 89-110.</w:t>
      </w:r>
    </w:p>
    <w:p w:rsidR="006A1A6D" w:rsidRPr="006A1A6D" w:rsidRDefault="00DA3C66" w:rsidP="005C7A9A">
      <w:pPr>
        <w:ind w:left="720" w:hanging="27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Maletič M., Maletič D., Gomišček, B. (2016).</w:t>
      </w:r>
      <w:r w:rsidR="006A1A6D" w:rsidRPr="006A1A6D">
        <w:rPr>
          <w:rFonts w:ascii="Times New Roman" w:hAnsi="Times New Roman" w:cs="Times New Roman"/>
          <w:noProof/>
          <w:sz w:val="24"/>
          <w:szCs w:val="24"/>
          <w:lang w:val="en-US"/>
        </w:rPr>
        <w:t xml:space="preserve"> “The impact of sustainability exploration and sustainability exploitation practices on the organisational performan</w:t>
      </w:r>
      <w:r>
        <w:rPr>
          <w:rFonts w:ascii="Times New Roman" w:hAnsi="Times New Roman" w:cs="Times New Roman"/>
          <w:noProof/>
          <w:sz w:val="24"/>
          <w:szCs w:val="24"/>
          <w:lang w:val="en-US"/>
        </w:rPr>
        <w:t>ce: a cross-country comparison”.</w:t>
      </w:r>
      <w:r w:rsidR="006A1A6D" w:rsidRPr="006A1A6D">
        <w:rPr>
          <w:rFonts w:ascii="Times New Roman" w:hAnsi="Times New Roman" w:cs="Times New Roman"/>
          <w:noProof/>
          <w:sz w:val="24"/>
          <w:szCs w:val="24"/>
          <w:lang w:val="en-US"/>
        </w:rPr>
        <w:t xml:space="preserve"> </w:t>
      </w:r>
      <w:r w:rsidR="006A1A6D" w:rsidRPr="006A1A6D">
        <w:rPr>
          <w:rFonts w:ascii="Times New Roman" w:hAnsi="Times New Roman" w:cs="Times New Roman"/>
          <w:i/>
          <w:noProof/>
          <w:sz w:val="24"/>
          <w:szCs w:val="24"/>
          <w:lang w:val="en-US"/>
        </w:rPr>
        <w:t>Journal of Cleaner Production</w:t>
      </w:r>
      <w:r w:rsidR="006A1A6D" w:rsidRPr="006A1A6D">
        <w:rPr>
          <w:rFonts w:ascii="Times New Roman" w:hAnsi="Times New Roman" w:cs="Times New Roman"/>
          <w:noProof/>
          <w:sz w:val="24"/>
          <w:szCs w:val="24"/>
          <w:lang w:val="en-US"/>
        </w:rPr>
        <w:t>, 138, Part 2, 158-169.</w:t>
      </w:r>
    </w:p>
    <w:p w:rsidR="00DC5A74" w:rsidRPr="00B61A48" w:rsidRDefault="00DC5A74" w:rsidP="005C7A9A">
      <w:pPr>
        <w:tabs>
          <w:tab w:val="left" w:pos="1530"/>
        </w:tabs>
        <w:ind w:left="720" w:hanging="270"/>
        <w:jc w:val="both"/>
        <w:rPr>
          <w:rFonts w:ascii="Times New Roman" w:hAnsi="Times New Roman" w:cs="Times New Roman"/>
          <w:sz w:val="24"/>
          <w:szCs w:val="24"/>
          <w:lang w:val="en-GB"/>
        </w:rPr>
      </w:pPr>
      <w:proofErr w:type="gramStart"/>
      <w:r w:rsidRPr="006A1A6D">
        <w:rPr>
          <w:rFonts w:ascii="Times New Roman" w:hAnsi="Times New Roman" w:cs="Times New Roman"/>
          <w:sz w:val="24"/>
          <w:szCs w:val="24"/>
          <w:lang w:val="en-GB"/>
        </w:rPr>
        <w:t>Maletič</w:t>
      </w:r>
      <w:r w:rsidR="00DA3C66">
        <w:rPr>
          <w:rFonts w:ascii="Times New Roman" w:hAnsi="Times New Roman" w:cs="Times New Roman"/>
          <w:sz w:val="24"/>
          <w:szCs w:val="24"/>
          <w:lang w:val="en-GB"/>
        </w:rPr>
        <w:t>, M., Maletič D., Dahlgaard J., Dahlgaard-Park S.M., Gomišcek B. (2015).</w:t>
      </w:r>
      <w:proofErr w:type="gramEnd"/>
      <w:r w:rsidRPr="008751F4">
        <w:rPr>
          <w:rFonts w:ascii="Times New Roman" w:hAnsi="Times New Roman" w:cs="Times New Roman"/>
          <w:sz w:val="24"/>
          <w:szCs w:val="24"/>
          <w:lang w:val="en-GB"/>
        </w:rPr>
        <w:t xml:space="preserve"> “Do corporate sustainability practices enhance organizational economic </w:t>
      </w:r>
      <w:r w:rsidRPr="00D55A91">
        <w:rPr>
          <w:rFonts w:ascii="Times New Roman" w:hAnsi="Times New Roman" w:cs="Times New Roman"/>
          <w:sz w:val="24"/>
          <w:szCs w:val="24"/>
          <w:lang w:val="en-GB"/>
        </w:rPr>
        <w:t>performance</w:t>
      </w:r>
      <w:r w:rsidR="00DA3C66">
        <w:rPr>
          <w:rFonts w:ascii="Times New Roman" w:hAnsi="Times New Roman" w:cs="Times New Roman"/>
          <w:sz w:val="24"/>
          <w:szCs w:val="24"/>
          <w:lang w:val="en-GB"/>
        </w:rPr>
        <w:t>?</w:t>
      </w:r>
      <w:proofErr w:type="gramStart"/>
      <w:r w:rsidR="00DA3C66">
        <w:rPr>
          <w:rFonts w:ascii="Times New Roman" w:hAnsi="Times New Roman" w:cs="Times New Roman"/>
          <w:sz w:val="24"/>
          <w:szCs w:val="24"/>
          <w:lang w:val="en-GB"/>
        </w:rPr>
        <w:t>”.</w:t>
      </w:r>
      <w:proofErr w:type="gramEnd"/>
      <w:r w:rsidR="00251911" w:rsidRPr="00B61A48">
        <w:rPr>
          <w:rFonts w:ascii="Times New Roman" w:hAnsi="Times New Roman" w:cs="Times New Roman"/>
          <w:sz w:val="24"/>
          <w:szCs w:val="24"/>
          <w:lang w:val="en-GB"/>
        </w:rPr>
        <w:t xml:space="preserve"> </w:t>
      </w:r>
      <w:r w:rsidRPr="00B61A48">
        <w:rPr>
          <w:rFonts w:ascii="Times New Roman" w:hAnsi="Times New Roman" w:cs="Times New Roman"/>
          <w:i/>
          <w:sz w:val="24"/>
          <w:szCs w:val="24"/>
          <w:lang w:val="en-GB"/>
        </w:rPr>
        <w:t>International Journal of Quality and Service Sciences</w:t>
      </w:r>
      <w:r w:rsidR="00B75980">
        <w:rPr>
          <w:rFonts w:ascii="Times New Roman" w:hAnsi="Times New Roman" w:cs="Times New Roman"/>
          <w:sz w:val="24"/>
          <w:szCs w:val="24"/>
          <w:lang w:val="en-GB"/>
        </w:rPr>
        <w:t>, 7(</w:t>
      </w:r>
      <w:r w:rsidRPr="00B61A48">
        <w:rPr>
          <w:rFonts w:ascii="Times New Roman" w:hAnsi="Times New Roman" w:cs="Times New Roman"/>
          <w:sz w:val="24"/>
          <w:szCs w:val="24"/>
          <w:lang w:val="en-GB"/>
        </w:rPr>
        <w:t>2/3</w:t>
      </w:r>
      <w:r w:rsidR="00B75980">
        <w:rPr>
          <w:rFonts w:ascii="Times New Roman" w:hAnsi="Times New Roman" w:cs="Times New Roman"/>
          <w:sz w:val="24"/>
          <w:szCs w:val="24"/>
          <w:lang w:val="en-GB"/>
        </w:rPr>
        <w:t>),</w:t>
      </w:r>
      <w:r w:rsidRPr="00B61A48">
        <w:rPr>
          <w:rFonts w:ascii="Times New Roman" w:hAnsi="Times New Roman" w:cs="Times New Roman"/>
          <w:sz w:val="24"/>
          <w:szCs w:val="24"/>
          <w:lang w:val="en-GB"/>
        </w:rPr>
        <w:t xml:space="preserve"> 184-200.</w:t>
      </w:r>
    </w:p>
    <w:p w:rsidR="00B61A48" w:rsidRPr="00A72C80" w:rsidRDefault="002674DB" w:rsidP="005C7A9A">
      <w:pPr>
        <w:ind w:left="720" w:hanging="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Malhotra</w:t>
      </w:r>
      <w:r w:rsidR="00B61A48" w:rsidRPr="00B61A48">
        <w:rPr>
          <w:rFonts w:ascii="Times New Roman" w:eastAsia="Times New Roman" w:hAnsi="Times New Roman" w:cs="Times New Roman"/>
          <w:sz w:val="24"/>
          <w:szCs w:val="24"/>
          <w:lang w:val="en-US"/>
        </w:rPr>
        <w:t xml:space="preserve"> M.K.</w:t>
      </w:r>
      <w:r w:rsidR="00C905A4">
        <w:rPr>
          <w:rFonts w:ascii="Times New Roman" w:eastAsia="Times New Roman" w:hAnsi="Times New Roman" w:cs="Times New Roman"/>
          <w:sz w:val="24"/>
          <w:szCs w:val="24"/>
          <w:lang w:val="en-US"/>
        </w:rPr>
        <w:t>,</w:t>
      </w:r>
      <w:r w:rsidR="00B61A48" w:rsidRPr="00B61A48">
        <w:rPr>
          <w:rFonts w:ascii="Times New Roman" w:eastAsia="Times New Roman" w:hAnsi="Times New Roman" w:cs="Times New Roman"/>
          <w:sz w:val="24"/>
          <w:szCs w:val="24"/>
          <w:lang w:val="en-US"/>
        </w:rPr>
        <w:t xml:space="preserve"> Grover</w:t>
      </w:r>
      <w:r w:rsidR="00B61A48" w:rsidRPr="00B61A48">
        <w:rPr>
          <w:rFonts w:ascii="Times New Roman" w:eastAsia="Times New Roman" w:hAnsi="Times New Roman" w:cs="Times New Roman"/>
          <w:bCs/>
          <w:sz w:val="24"/>
          <w:szCs w:val="24"/>
          <w:lang w:val="en-US"/>
        </w:rPr>
        <w:t xml:space="preserve"> </w:t>
      </w:r>
      <w:r w:rsidR="00C905A4">
        <w:rPr>
          <w:rFonts w:ascii="Times New Roman" w:eastAsia="Times New Roman" w:hAnsi="Times New Roman" w:cs="Times New Roman"/>
          <w:sz w:val="24"/>
          <w:szCs w:val="24"/>
          <w:lang w:val="en-US"/>
        </w:rPr>
        <w:t>V. (1998).</w:t>
      </w:r>
      <w:r w:rsidR="00B61A48" w:rsidRPr="00B61A48">
        <w:rPr>
          <w:rFonts w:ascii="Times New Roman" w:eastAsia="Times New Roman" w:hAnsi="Times New Roman" w:cs="Times New Roman"/>
          <w:sz w:val="24"/>
          <w:szCs w:val="24"/>
          <w:lang w:val="en-US"/>
        </w:rPr>
        <w:t xml:space="preserve"> </w:t>
      </w:r>
      <w:proofErr w:type="gramStart"/>
      <w:r w:rsidR="00B75980">
        <w:rPr>
          <w:rFonts w:ascii="Times New Roman" w:eastAsia="Times New Roman" w:hAnsi="Times New Roman" w:cs="Times New Roman"/>
          <w:sz w:val="24"/>
          <w:szCs w:val="24"/>
          <w:lang w:val="en-US"/>
        </w:rPr>
        <w:t>“</w:t>
      </w:r>
      <w:r w:rsidR="00B61A48" w:rsidRPr="00B61A48">
        <w:rPr>
          <w:rFonts w:ascii="Times New Roman" w:eastAsia="Times New Roman" w:hAnsi="Times New Roman" w:cs="Times New Roman"/>
          <w:bCs/>
          <w:sz w:val="24"/>
          <w:szCs w:val="24"/>
          <w:lang w:val="en-US"/>
        </w:rPr>
        <w:t xml:space="preserve">An assessment of survey research in POM: From </w:t>
      </w:r>
      <w:r w:rsidR="00B61A48" w:rsidRPr="00A72C80">
        <w:rPr>
          <w:rFonts w:ascii="Times New Roman" w:eastAsia="Times New Roman" w:hAnsi="Times New Roman" w:cs="Times New Roman"/>
          <w:bCs/>
          <w:sz w:val="24"/>
          <w:szCs w:val="24"/>
          <w:lang w:val="en-US"/>
        </w:rPr>
        <w:t>constructs to theory</w:t>
      </w:r>
      <w:r w:rsidR="00B75980" w:rsidRPr="00A72C80">
        <w:rPr>
          <w:rFonts w:ascii="Times New Roman" w:eastAsia="Times New Roman" w:hAnsi="Times New Roman" w:cs="Times New Roman"/>
          <w:bCs/>
          <w:sz w:val="24"/>
          <w:szCs w:val="24"/>
          <w:lang w:val="en-US"/>
        </w:rPr>
        <w:t>”</w:t>
      </w:r>
      <w:r w:rsidR="00C905A4">
        <w:rPr>
          <w:rFonts w:ascii="Times New Roman" w:eastAsia="Times New Roman" w:hAnsi="Times New Roman" w:cs="Times New Roman"/>
          <w:bCs/>
          <w:sz w:val="24"/>
          <w:szCs w:val="24"/>
          <w:lang w:val="en-US"/>
        </w:rPr>
        <w:t>.</w:t>
      </w:r>
      <w:proofErr w:type="gramEnd"/>
      <w:r w:rsidR="00B61A48" w:rsidRPr="00A72C80">
        <w:rPr>
          <w:rFonts w:ascii="Times New Roman" w:eastAsia="Times New Roman" w:hAnsi="Times New Roman" w:cs="Times New Roman"/>
          <w:bCs/>
          <w:sz w:val="24"/>
          <w:szCs w:val="24"/>
          <w:lang w:val="en-US"/>
        </w:rPr>
        <w:t xml:space="preserve"> </w:t>
      </w:r>
      <w:r w:rsidR="00B61A48" w:rsidRPr="00A72C80">
        <w:rPr>
          <w:rFonts w:ascii="Times New Roman" w:eastAsia="Times New Roman" w:hAnsi="Times New Roman" w:cs="Times New Roman"/>
          <w:i/>
          <w:sz w:val="24"/>
          <w:szCs w:val="24"/>
          <w:lang w:val="en-US"/>
        </w:rPr>
        <w:t>Journal of Operations Management</w:t>
      </w:r>
      <w:r w:rsidR="00B61A48" w:rsidRPr="00A72C80">
        <w:rPr>
          <w:rFonts w:ascii="Times New Roman" w:eastAsia="Times New Roman" w:hAnsi="Times New Roman" w:cs="Times New Roman"/>
          <w:sz w:val="24"/>
          <w:szCs w:val="24"/>
          <w:lang w:val="en-US"/>
        </w:rPr>
        <w:t>, 16 (4), pp. 407-425</w:t>
      </w:r>
    </w:p>
    <w:p w:rsidR="00D55A91" w:rsidRPr="00A72C80" w:rsidRDefault="00C905A4" w:rsidP="005C7A9A">
      <w:pPr>
        <w:autoSpaceDE w:val="0"/>
        <w:autoSpaceDN w:val="0"/>
        <w:adjustRightInd w:val="0"/>
        <w:ind w:left="720" w:hanging="270"/>
        <w:jc w:val="both"/>
        <w:rPr>
          <w:rFonts w:ascii="Times New Roman" w:hAnsi="Times New Roman" w:cs="Times New Roman"/>
          <w:sz w:val="24"/>
          <w:szCs w:val="24"/>
          <w:lang w:val="en-US"/>
        </w:rPr>
      </w:pPr>
      <w:r>
        <w:rPr>
          <w:rFonts w:ascii="Times New Roman" w:hAnsi="Times New Roman" w:cs="Times New Roman"/>
          <w:sz w:val="24"/>
          <w:szCs w:val="24"/>
          <w:lang w:val="en-US"/>
        </w:rPr>
        <w:t>Nair A., Prajogo, D. (2009).</w:t>
      </w:r>
      <w:r w:rsidR="00D55A91" w:rsidRPr="00A72C80">
        <w:rPr>
          <w:rFonts w:ascii="Times New Roman" w:hAnsi="Times New Roman" w:cs="Times New Roman"/>
          <w:sz w:val="24"/>
          <w:szCs w:val="24"/>
          <w:lang w:val="en-US"/>
        </w:rPr>
        <w:t xml:space="preserve"> “Internalisation of ISO 9000 standards: the antecedent role of functionalist and institutionalist drivers and performance implications”</w:t>
      </w:r>
      <w:r>
        <w:rPr>
          <w:rFonts w:ascii="Times New Roman" w:hAnsi="Times New Roman" w:cs="Times New Roman"/>
          <w:sz w:val="24"/>
          <w:szCs w:val="24"/>
          <w:lang w:val="en-US"/>
        </w:rPr>
        <w:t>.</w:t>
      </w:r>
      <w:r w:rsidR="00D55A91" w:rsidRPr="00A72C80">
        <w:rPr>
          <w:rFonts w:ascii="Times New Roman" w:hAnsi="Times New Roman" w:cs="Times New Roman"/>
          <w:sz w:val="24"/>
          <w:szCs w:val="24"/>
          <w:lang w:val="en-US"/>
        </w:rPr>
        <w:t xml:space="preserve"> </w:t>
      </w:r>
      <w:r w:rsidR="00D55A91" w:rsidRPr="00A72C80">
        <w:rPr>
          <w:rFonts w:ascii="Times New Roman" w:hAnsi="Times New Roman" w:cs="Times New Roman"/>
          <w:i/>
          <w:sz w:val="24"/>
          <w:szCs w:val="24"/>
          <w:lang w:val="en-US"/>
        </w:rPr>
        <w:t>International Journal of</w:t>
      </w:r>
      <w:r w:rsidR="00251911" w:rsidRPr="00A72C80">
        <w:rPr>
          <w:rFonts w:ascii="Times New Roman" w:hAnsi="Times New Roman" w:cs="Times New Roman"/>
          <w:i/>
          <w:sz w:val="24"/>
          <w:szCs w:val="24"/>
          <w:lang w:val="en-US"/>
        </w:rPr>
        <w:t xml:space="preserve"> </w:t>
      </w:r>
      <w:r w:rsidR="00D55A91" w:rsidRPr="00A72C80">
        <w:rPr>
          <w:rFonts w:ascii="Times New Roman" w:hAnsi="Times New Roman" w:cs="Times New Roman"/>
          <w:i/>
          <w:sz w:val="24"/>
          <w:szCs w:val="24"/>
          <w:lang w:val="en-US"/>
        </w:rPr>
        <w:t>Production Research</w:t>
      </w:r>
      <w:r w:rsidR="00251911" w:rsidRPr="00A72C80">
        <w:rPr>
          <w:rFonts w:ascii="Times New Roman" w:hAnsi="Times New Roman" w:cs="Times New Roman"/>
          <w:sz w:val="24"/>
          <w:szCs w:val="24"/>
          <w:lang w:val="en-US"/>
        </w:rPr>
        <w:t>, 47(</w:t>
      </w:r>
      <w:r w:rsidR="00D55A91" w:rsidRPr="00A72C80">
        <w:rPr>
          <w:rFonts w:ascii="Times New Roman" w:hAnsi="Times New Roman" w:cs="Times New Roman"/>
          <w:sz w:val="24"/>
          <w:szCs w:val="24"/>
          <w:lang w:val="en-US"/>
        </w:rPr>
        <w:t>16</w:t>
      </w:r>
      <w:r w:rsidR="00251911" w:rsidRPr="00A72C80">
        <w:rPr>
          <w:rFonts w:ascii="Times New Roman" w:hAnsi="Times New Roman" w:cs="Times New Roman"/>
          <w:sz w:val="24"/>
          <w:szCs w:val="24"/>
          <w:lang w:val="en-US"/>
        </w:rPr>
        <w:t>)</w:t>
      </w:r>
      <w:r w:rsidR="00D55A91" w:rsidRPr="00A72C80">
        <w:rPr>
          <w:rFonts w:ascii="Times New Roman" w:hAnsi="Times New Roman" w:cs="Times New Roman"/>
          <w:sz w:val="24"/>
          <w:szCs w:val="24"/>
          <w:lang w:val="en-US"/>
        </w:rPr>
        <w:t>, 4545-4568.</w:t>
      </w:r>
    </w:p>
    <w:p w:rsidR="00A72C80" w:rsidRPr="00496F78" w:rsidRDefault="00A72C80" w:rsidP="00A72C80">
      <w:pPr>
        <w:autoSpaceDE w:val="0"/>
        <w:autoSpaceDN w:val="0"/>
        <w:adjustRightInd w:val="0"/>
        <w:ind w:left="720" w:hanging="270"/>
        <w:jc w:val="both"/>
        <w:rPr>
          <w:rStyle w:val="ref-links"/>
          <w:rFonts w:ascii="Times New Roman" w:hAnsi="Times New Roman" w:cs="Times New Roman"/>
          <w:sz w:val="24"/>
          <w:szCs w:val="24"/>
          <w:lang w:val="en-US"/>
        </w:rPr>
      </w:pPr>
      <w:r w:rsidRPr="00496F78">
        <w:rPr>
          <w:rStyle w:val="hlfld-contribauthor"/>
          <w:rFonts w:ascii="Times New Roman" w:hAnsi="Times New Roman" w:cs="Times New Roman"/>
          <w:sz w:val="24"/>
          <w:szCs w:val="24"/>
          <w:lang w:val="en-US"/>
        </w:rPr>
        <w:t xml:space="preserve">Nunnally </w:t>
      </w:r>
      <w:r w:rsidRPr="00496F78">
        <w:rPr>
          <w:rStyle w:val="nlmgiven-names"/>
          <w:rFonts w:ascii="Times New Roman" w:hAnsi="Times New Roman" w:cs="Times New Roman"/>
          <w:sz w:val="24"/>
          <w:szCs w:val="24"/>
          <w:lang w:val="en-US"/>
        </w:rPr>
        <w:t>J.C.</w:t>
      </w:r>
      <w:r w:rsidR="00C905A4" w:rsidRPr="00496F78">
        <w:rPr>
          <w:rStyle w:val="ref-overlay"/>
          <w:rFonts w:ascii="Times New Roman" w:hAnsi="Times New Roman" w:cs="Times New Roman"/>
          <w:sz w:val="24"/>
          <w:szCs w:val="24"/>
          <w:lang w:val="en-US"/>
        </w:rPr>
        <w:t>,</w:t>
      </w:r>
      <w:r w:rsidRPr="00496F78">
        <w:rPr>
          <w:rStyle w:val="ref-overlay"/>
          <w:rFonts w:ascii="Times New Roman" w:hAnsi="Times New Roman" w:cs="Times New Roman"/>
          <w:sz w:val="24"/>
          <w:szCs w:val="24"/>
          <w:lang w:val="en-US"/>
        </w:rPr>
        <w:t xml:space="preserve"> </w:t>
      </w:r>
      <w:r w:rsidRPr="00496F78">
        <w:rPr>
          <w:rStyle w:val="hlfld-contribauthor"/>
          <w:rFonts w:ascii="Times New Roman" w:hAnsi="Times New Roman" w:cs="Times New Roman"/>
          <w:sz w:val="24"/>
          <w:szCs w:val="24"/>
          <w:lang w:val="en-US"/>
        </w:rPr>
        <w:t>Bernstein</w:t>
      </w:r>
      <w:r w:rsidRPr="00496F78">
        <w:rPr>
          <w:rStyle w:val="ref-overlay"/>
          <w:rFonts w:ascii="Times New Roman" w:hAnsi="Times New Roman" w:cs="Times New Roman"/>
          <w:sz w:val="24"/>
          <w:szCs w:val="24"/>
          <w:lang w:val="en-US"/>
        </w:rPr>
        <w:t>, I.H. (</w:t>
      </w:r>
      <w:r w:rsidRPr="00496F78">
        <w:rPr>
          <w:rStyle w:val="nlmyear"/>
          <w:rFonts w:ascii="Times New Roman" w:hAnsi="Times New Roman" w:cs="Times New Roman"/>
          <w:sz w:val="24"/>
          <w:szCs w:val="24"/>
          <w:lang w:val="en-US"/>
        </w:rPr>
        <w:t>1994)</w:t>
      </w:r>
      <w:r w:rsidR="00C905A4" w:rsidRPr="00496F78">
        <w:rPr>
          <w:rStyle w:val="nlmyear"/>
          <w:rFonts w:ascii="Times New Roman" w:hAnsi="Times New Roman" w:cs="Times New Roman"/>
          <w:sz w:val="24"/>
          <w:szCs w:val="24"/>
          <w:lang w:val="en-US"/>
        </w:rPr>
        <w:t>.</w:t>
      </w:r>
      <w:r w:rsidRPr="00496F78">
        <w:rPr>
          <w:rStyle w:val="ref-overlay"/>
          <w:rFonts w:ascii="Times New Roman" w:hAnsi="Times New Roman" w:cs="Times New Roman"/>
          <w:sz w:val="24"/>
          <w:szCs w:val="24"/>
          <w:lang w:val="en-US"/>
        </w:rPr>
        <w:t xml:space="preserve"> “</w:t>
      </w:r>
      <w:r w:rsidRPr="00496F78">
        <w:rPr>
          <w:rStyle w:val="nlmarticle-title"/>
          <w:rFonts w:ascii="Times New Roman" w:hAnsi="Times New Roman" w:cs="Times New Roman"/>
          <w:sz w:val="24"/>
          <w:szCs w:val="24"/>
          <w:lang w:val="en-US"/>
        </w:rPr>
        <w:t>The Assessment of Reliability</w:t>
      </w:r>
      <w:r w:rsidRPr="00496F78">
        <w:rPr>
          <w:rStyle w:val="ref-overlay"/>
          <w:rFonts w:ascii="Times New Roman" w:hAnsi="Times New Roman" w:cs="Times New Roman"/>
          <w:sz w:val="24"/>
          <w:szCs w:val="24"/>
          <w:lang w:val="en-US"/>
        </w:rPr>
        <w:t>”</w:t>
      </w:r>
      <w:r w:rsidR="00C905A4" w:rsidRPr="00496F78">
        <w:rPr>
          <w:rStyle w:val="ref-overlay"/>
          <w:rFonts w:ascii="Times New Roman" w:hAnsi="Times New Roman" w:cs="Times New Roman"/>
          <w:sz w:val="24"/>
          <w:szCs w:val="24"/>
          <w:lang w:val="en-US"/>
        </w:rPr>
        <w:t>.</w:t>
      </w:r>
      <w:r w:rsidRPr="00496F78">
        <w:rPr>
          <w:rStyle w:val="ref-overlay"/>
          <w:rFonts w:ascii="Times New Roman" w:hAnsi="Times New Roman" w:cs="Times New Roman"/>
          <w:sz w:val="24"/>
          <w:szCs w:val="24"/>
          <w:lang w:val="en-US"/>
        </w:rPr>
        <w:t xml:space="preserve"> </w:t>
      </w:r>
      <w:r w:rsidRPr="00496F78">
        <w:rPr>
          <w:rStyle w:val="ref-overlay"/>
          <w:rFonts w:ascii="Times New Roman" w:hAnsi="Times New Roman" w:cs="Times New Roman"/>
          <w:i/>
          <w:iCs/>
          <w:sz w:val="24"/>
          <w:szCs w:val="24"/>
          <w:lang w:val="en-US"/>
        </w:rPr>
        <w:t>Psychometric Theory,</w:t>
      </w:r>
      <w:r w:rsidRPr="00496F78">
        <w:rPr>
          <w:rStyle w:val="ref-overlay"/>
          <w:rFonts w:ascii="Times New Roman" w:hAnsi="Times New Roman" w:cs="Times New Roman"/>
          <w:sz w:val="24"/>
          <w:szCs w:val="24"/>
          <w:lang w:val="en-US"/>
        </w:rPr>
        <w:t xml:space="preserve"> 3(1), </w:t>
      </w:r>
      <w:r w:rsidRPr="00496F78">
        <w:rPr>
          <w:rStyle w:val="nlmfpage"/>
          <w:rFonts w:ascii="Times New Roman" w:hAnsi="Times New Roman" w:cs="Times New Roman"/>
          <w:sz w:val="24"/>
          <w:szCs w:val="24"/>
          <w:lang w:val="en-US"/>
        </w:rPr>
        <w:t>248</w:t>
      </w:r>
      <w:r w:rsidRPr="00496F78">
        <w:rPr>
          <w:rStyle w:val="ref-overlay"/>
          <w:rFonts w:ascii="Times New Roman" w:hAnsi="Times New Roman" w:cs="Times New Roman"/>
          <w:sz w:val="24"/>
          <w:szCs w:val="24"/>
          <w:lang w:val="en-US"/>
        </w:rPr>
        <w:t>–</w:t>
      </w:r>
      <w:r w:rsidRPr="00496F78">
        <w:rPr>
          <w:rStyle w:val="nlmlpage"/>
          <w:rFonts w:ascii="Times New Roman" w:hAnsi="Times New Roman" w:cs="Times New Roman"/>
          <w:sz w:val="24"/>
          <w:szCs w:val="24"/>
          <w:lang w:val="en-US"/>
        </w:rPr>
        <w:t>292</w:t>
      </w:r>
      <w:r w:rsidRPr="00496F78">
        <w:rPr>
          <w:rStyle w:val="ref-overlay"/>
          <w:rFonts w:ascii="Times New Roman" w:hAnsi="Times New Roman" w:cs="Times New Roman"/>
          <w:sz w:val="24"/>
          <w:szCs w:val="24"/>
          <w:lang w:val="en-US"/>
        </w:rPr>
        <w:t>.</w:t>
      </w:r>
    </w:p>
    <w:p w:rsidR="00522380" w:rsidRPr="00496F78" w:rsidRDefault="00C905A4" w:rsidP="00A72C80">
      <w:pPr>
        <w:autoSpaceDE w:val="0"/>
        <w:autoSpaceDN w:val="0"/>
        <w:adjustRightInd w:val="0"/>
        <w:ind w:left="720" w:hanging="270"/>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Nunhes T.V., Bernardo M.,</w:t>
      </w:r>
      <w:r w:rsidR="00522380" w:rsidRPr="00496F78">
        <w:rPr>
          <w:rFonts w:ascii="Times New Roman" w:hAnsi="Times New Roman" w:cs="Times New Roman"/>
          <w:sz w:val="24"/>
          <w:szCs w:val="24"/>
          <w:lang w:val="en-US"/>
        </w:rPr>
        <w:t xml:space="preserve"> Oliveira, O.J. (2019). </w:t>
      </w:r>
      <w:proofErr w:type="gramStart"/>
      <w:r w:rsidR="00522380" w:rsidRPr="00A72C80">
        <w:rPr>
          <w:rFonts w:ascii="Times New Roman" w:hAnsi="Times New Roman" w:cs="Times New Roman"/>
          <w:sz w:val="24"/>
          <w:szCs w:val="24"/>
          <w:lang w:val="en-US"/>
        </w:rPr>
        <w:t>“</w:t>
      </w:r>
      <w:r w:rsidR="00522380" w:rsidRPr="00496F78">
        <w:rPr>
          <w:rFonts w:ascii="Times New Roman" w:hAnsi="Times New Roman" w:cs="Times New Roman"/>
          <w:sz w:val="24"/>
          <w:szCs w:val="24"/>
          <w:lang w:val="en-US"/>
        </w:rPr>
        <w:t>Guiding principles of integrated management systems: Towards unifying a starting point for researchers and practitioners</w:t>
      </w:r>
      <w:r w:rsidR="00522380" w:rsidRPr="00A72C80">
        <w:rPr>
          <w:rFonts w:ascii="Times New Roman" w:hAnsi="Times New Roman" w:cs="Times New Roman"/>
          <w:sz w:val="24"/>
          <w:szCs w:val="24"/>
          <w:lang w:val="en-US"/>
        </w:rPr>
        <w:t>”.</w:t>
      </w:r>
      <w:proofErr w:type="gramEnd"/>
      <w:r w:rsidR="00522380" w:rsidRPr="00496F78">
        <w:rPr>
          <w:rFonts w:ascii="Times New Roman" w:hAnsi="Times New Roman" w:cs="Times New Roman"/>
          <w:sz w:val="24"/>
          <w:szCs w:val="24"/>
          <w:lang w:val="en-US"/>
        </w:rPr>
        <w:t xml:space="preserve"> </w:t>
      </w:r>
      <w:r w:rsidR="00522380" w:rsidRPr="00496F78">
        <w:rPr>
          <w:rFonts w:ascii="Times New Roman" w:hAnsi="Times New Roman" w:cs="Times New Roman"/>
          <w:i/>
          <w:sz w:val="24"/>
          <w:szCs w:val="24"/>
          <w:lang w:val="en-US"/>
        </w:rPr>
        <w:t>Journal of Cleaner Production</w:t>
      </w:r>
      <w:r w:rsidR="00522380" w:rsidRPr="00496F78">
        <w:rPr>
          <w:rFonts w:ascii="Times New Roman" w:hAnsi="Times New Roman" w:cs="Times New Roman"/>
          <w:sz w:val="24"/>
          <w:szCs w:val="24"/>
          <w:lang w:val="en-US"/>
        </w:rPr>
        <w:t>, 210, 977-993.</w:t>
      </w:r>
    </w:p>
    <w:p w:rsidR="007309B4" w:rsidRPr="00A72C80" w:rsidRDefault="00C905A4" w:rsidP="005C7A9A">
      <w:pPr>
        <w:autoSpaceDE w:val="0"/>
        <w:autoSpaceDN w:val="0"/>
        <w:adjustRightInd w:val="0"/>
        <w:ind w:left="720" w:hanging="270"/>
        <w:jc w:val="both"/>
        <w:rPr>
          <w:rFonts w:ascii="Times New Roman" w:hAnsi="Times New Roman" w:cs="Times New Roman"/>
          <w:sz w:val="24"/>
          <w:szCs w:val="24"/>
          <w:lang w:val="en-US"/>
        </w:rPr>
      </w:pPr>
      <w:r>
        <w:rPr>
          <w:rFonts w:ascii="Times New Roman" w:hAnsi="Times New Roman" w:cs="Times New Roman"/>
          <w:sz w:val="24"/>
          <w:szCs w:val="24"/>
          <w:lang w:val="en-US"/>
        </w:rPr>
        <w:t>Oksenberg L., Cannell C., Kalton, G. (1991).</w:t>
      </w:r>
      <w:r w:rsidR="007309B4" w:rsidRPr="00A72C80">
        <w:rPr>
          <w:rFonts w:ascii="Times New Roman" w:hAnsi="Times New Roman" w:cs="Times New Roman"/>
          <w:sz w:val="24"/>
          <w:szCs w:val="24"/>
          <w:lang w:val="en-US"/>
        </w:rPr>
        <w:t xml:space="preserve"> </w:t>
      </w:r>
      <w:proofErr w:type="gramStart"/>
      <w:r w:rsidR="007309B4" w:rsidRPr="00A72C80">
        <w:rPr>
          <w:rFonts w:ascii="Times New Roman" w:hAnsi="Times New Roman" w:cs="Times New Roman"/>
          <w:sz w:val="24"/>
          <w:szCs w:val="24"/>
          <w:lang w:val="en-US"/>
        </w:rPr>
        <w:t>“New Strategies f</w:t>
      </w:r>
      <w:r>
        <w:rPr>
          <w:rFonts w:ascii="Times New Roman" w:hAnsi="Times New Roman" w:cs="Times New Roman"/>
          <w:sz w:val="24"/>
          <w:szCs w:val="24"/>
          <w:lang w:val="en-US"/>
        </w:rPr>
        <w:t>or Pretesting Survey Questions”.</w:t>
      </w:r>
      <w:proofErr w:type="gramEnd"/>
      <w:r w:rsidR="007309B4" w:rsidRPr="00A72C80">
        <w:rPr>
          <w:rFonts w:ascii="Times New Roman" w:hAnsi="Times New Roman" w:cs="Times New Roman"/>
          <w:sz w:val="24"/>
          <w:szCs w:val="24"/>
          <w:lang w:val="en-US"/>
        </w:rPr>
        <w:t xml:space="preserve"> </w:t>
      </w:r>
      <w:r w:rsidR="007309B4" w:rsidRPr="00A72C80">
        <w:rPr>
          <w:rFonts w:ascii="Times New Roman" w:hAnsi="Times New Roman" w:cs="Times New Roman"/>
          <w:i/>
          <w:sz w:val="24"/>
          <w:szCs w:val="24"/>
          <w:lang w:val="en-US"/>
        </w:rPr>
        <w:t>Journal of Official Statistics</w:t>
      </w:r>
      <w:r w:rsidR="005C3891" w:rsidRPr="00A72C80">
        <w:rPr>
          <w:rFonts w:ascii="Times New Roman" w:hAnsi="Times New Roman" w:cs="Times New Roman"/>
          <w:sz w:val="24"/>
          <w:szCs w:val="24"/>
          <w:lang w:val="en-US"/>
        </w:rPr>
        <w:t>, 7(3),</w:t>
      </w:r>
      <w:r w:rsidR="007309B4" w:rsidRPr="00A72C80">
        <w:rPr>
          <w:rFonts w:ascii="Times New Roman" w:hAnsi="Times New Roman" w:cs="Times New Roman"/>
          <w:sz w:val="24"/>
          <w:szCs w:val="24"/>
          <w:lang w:val="en-US"/>
        </w:rPr>
        <w:t xml:space="preserve"> 349-365.</w:t>
      </w:r>
    </w:p>
    <w:p w:rsidR="009A4410" w:rsidRPr="00B75980" w:rsidRDefault="00C905A4" w:rsidP="005C7A9A">
      <w:pPr>
        <w:tabs>
          <w:tab w:val="left" w:pos="360"/>
        </w:tabs>
        <w:ind w:left="720" w:hanging="270"/>
        <w:jc w:val="both"/>
        <w:rPr>
          <w:rFonts w:ascii="Times New Roman" w:eastAsia="Times New Roman" w:hAnsi="Times New Roman" w:cs="Times New Roman"/>
          <w:color w:val="000000" w:themeColor="text1"/>
          <w:sz w:val="24"/>
          <w:szCs w:val="24"/>
          <w:lang w:val="en-US" w:eastAsia="el-GR"/>
        </w:rPr>
      </w:pPr>
      <w:r>
        <w:rPr>
          <w:rFonts w:ascii="Times New Roman" w:eastAsia="Times New Roman" w:hAnsi="Times New Roman" w:cs="Times New Roman"/>
          <w:color w:val="000000" w:themeColor="text1"/>
          <w:sz w:val="24"/>
          <w:szCs w:val="24"/>
          <w:lang w:val="en-US" w:eastAsia="el-GR"/>
        </w:rPr>
        <w:t>Podsakoff</w:t>
      </w:r>
      <w:r w:rsidR="009A4410" w:rsidRPr="00A72C80">
        <w:rPr>
          <w:rFonts w:ascii="Times New Roman" w:eastAsia="Times New Roman" w:hAnsi="Times New Roman" w:cs="Times New Roman"/>
          <w:color w:val="000000" w:themeColor="text1"/>
          <w:sz w:val="24"/>
          <w:szCs w:val="24"/>
          <w:lang w:val="en-US" w:eastAsia="el-GR"/>
        </w:rPr>
        <w:t xml:space="preserve"> P. M., MacKenzie</w:t>
      </w:r>
      <w:r>
        <w:rPr>
          <w:rFonts w:ascii="Times New Roman" w:eastAsia="Times New Roman" w:hAnsi="Times New Roman" w:cs="Times New Roman"/>
          <w:color w:val="000000" w:themeColor="text1"/>
          <w:sz w:val="24"/>
          <w:szCs w:val="24"/>
          <w:lang w:val="en-US" w:eastAsia="el-GR"/>
        </w:rPr>
        <w:t xml:space="preserve"> S. B., Lee J.-Y., Podsakoff</w:t>
      </w:r>
      <w:r w:rsidR="009A4410" w:rsidRPr="00A72C80">
        <w:rPr>
          <w:rFonts w:ascii="Times New Roman" w:eastAsia="Times New Roman" w:hAnsi="Times New Roman" w:cs="Times New Roman"/>
          <w:color w:val="000000" w:themeColor="text1"/>
          <w:sz w:val="24"/>
          <w:szCs w:val="24"/>
          <w:lang w:val="en-US" w:eastAsia="el-GR"/>
        </w:rPr>
        <w:t xml:space="preserve"> N. P. (2003). “Common method</w:t>
      </w:r>
      <w:r w:rsidR="009A4410" w:rsidRPr="00B75980">
        <w:rPr>
          <w:rFonts w:ascii="Times New Roman" w:eastAsia="Times New Roman" w:hAnsi="Times New Roman" w:cs="Times New Roman"/>
          <w:color w:val="000000" w:themeColor="text1"/>
          <w:sz w:val="24"/>
          <w:szCs w:val="24"/>
          <w:lang w:val="en-US" w:eastAsia="el-GR"/>
        </w:rPr>
        <w:t xml:space="preserve"> biases in behavioral research: A critical review of the liter</w:t>
      </w:r>
      <w:r>
        <w:rPr>
          <w:rFonts w:ascii="Times New Roman" w:eastAsia="Times New Roman" w:hAnsi="Times New Roman" w:cs="Times New Roman"/>
          <w:color w:val="000000" w:themeColor="text1"/>
          <w:sz w:val="24"/>
          <w:szCs w:val="24"/>
          <w:lang w:val="en-US" w:eastAsia="el-GR"/>
        </w:rPr>
        <w:t>ature and recommended remedies”.</w:t>
      </w:r>
      <w:r w:rsidR="009A4410" w:rsidRPr="00B75980">
        <w:rPr>
          <w:rFonts w:ascii="Times New Roman" w:eastAsia="Times New Roman" w:hAnsi="Times New Roman" w:cs="Times New Roman"/>
          <w:color w:val="000000" w:themeColor="text1"/>
          <w:sz w:val="24"/>
          <w:szCs w:val="24"/>
          <w:lang w:val="en-US" w:eastAsia="el-GR"/>
        </w:rPr>
        <w:t xml:space="preserve"> </w:t>
      </w:r>
      <w:r w:rsidR="009A4410" w:rsidRPr="00B75980">
        <w:rPr>
          <w:rFonts w:ascii="Times New Roman" w:eastAsia="Times New Roman" w:hAnsi="Times New Roman" w:cs="Times New Roman"/>
          <w:i/>
          <w:color w:val="000000" w:themeColor="text1"/>
          <w:sz w:val="24"/>
          <w:szCs w:val="24"/>
          <w:lang w:val="en-US" w:eastAsia="el-GR"/>
        </w:rPr>
        <w:t>Journal of Applied Psychology</w:t>
      </w:r>
      <w:r w:rsidR="009A4410" w:rsidRPr="00B75980">
        <w:rPr>
          <w:rFonts w:ascii="Times New Roman" w:eastAsia="Times New Roman" w:hAnsi="Times New Roman" w:cs="Times New Roman"/>
          <w:color w:val="000000" w:themeColor="text1"/>
          <w:sz w:val="24"/>
          <w:szCs w:val="24"/>
          <w:lang w:val="en-US" w:eastAsia="el-GR"/>
        </w:rPr>
        <w:t>, 88(5), 879-903.</w:t>
      </w:r>
    </w:p>
    <w:p w:rsidR="00F74360" w:rsidRPr="00496F78" w:rsidRDefault="00C905A4" w:rsidP="005C7A9A">
      <w:pPr>
        <w:shd w:val="clear" w:color="auto" w:fill="FFFFFF"/>
        <w:ind w:left="720" w:hanging="270"/>
        <w:jc w:val="both"/>
        <w:rPr>
          <w:rStyle w:val="cls-response"/>
          <w:rFonts w:ascii="Times New Roman" w:hAnsi="Times New Roman" w:cs="Times New Roman"/>
          <w:color w:val="000000" w:themeColor="text1"/>
          <w:sz w:val="24"/>
          <w:szCs w:val="24"/>
          <w:lang w:val="en-US"/>
        </w:rPr>
      </w:pPr>
      <w:r w:rsidRPr="00496F78">
        <w:rPr>
          <w:rStyle w:val="cls-response"/>
          <w:rFonts w:ascii="Times New Roman" w:hAnsi="Times New Roman" w:cs="Times New Roman"/>
          <w:color w:val="000000" w:themeColor="text1"/>
          <w:sz w:val="24"/>
          <w:szCs w:val="24"/>
          <w:lang w:val="en-US"/>
        </w:rPr>
        <w:t>Podsakoff P.M., Organ D.</w:t>
      </w:r>
      <w:r w:rsidR="00F74360" w:rsidRPr="00496F78">
        <w:rPr>
          <w:rStyle w:val="cls-response"/>
          <w:rFonts w:ascii="Times New Roman" w:hAnsi="Times New Roman" w:cs="Times New Roman"/>
          <w:color w:val="000000" w:themeColor="text1"/>
          <w:sz w:val="24"/>
          <w:szCs w:val="24"/>
          <w:lang w:val="en-US"/>
        </w:rPr>
        <w:t xml:space="preserve">W. (1986). </w:t>
      </w:r>
      <w:proofErr w:type="gramStart"/>
      <w:r w:rsidR="00F74360" w:rsidRPr="00B75980">
        <w:rPr>
          <w:rFonts w:ascii="Times New Roman" w:hAnsi="Times New Roman" w:cs="Times New Roman"/>
          <w:color w:val="000000" w:themeColor="text1"/>
          <w:sz w:val="24"/>
          <w:szCs w:val="24"/>
          <w:lang w:val="en-US"/>
        </w:rPr>
        <w:t>“</w:t>
      </w:r>
      <w:r w:rsidR="00F74360" w:rsidRPr="00496F78">
        <w:rPr>
          <w:rStyle w:val="cls-response"/>
          <w:rFonts w:ascii="Times New Roman" w:hAnsi="Times New Roman" w:cs="Times New Roman"/>
          <w:color w:val="000000" w:themeColor="text1"/>
          <w:sz w:val="24"/>
          <w:szCs w:val="24"/>
          <w:lang w:val="en-US"/>
        </w:rPr>
        <w:t>Self-Reports in Organizational Research: Problems and Prospects</w:t>
      </w:r>
      <w:r w:rsidR="00F74360" w:rsidRPr="00B75980">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roofErr w:type="gramEnd"/>
      <w:r w:rsidR="00F74360" w:rsidRPr="00496F78">
        <w:rPr>
          <w:rStyle w:val="cls-response"/>
          <w:rFonts w:ascii="Times New Roman" w:hAnsi="Times New Roman" w:cs="Times New Roman"/>
          <w:color w:val="000000" w:themeColor="text1"/>
          <w:sz w:val="24"/>
          <w:szCs w:val="24"/>
          <w:lang w:val="en-US"/>
        </w:rPr>
        <w:t xml:space="preserve"> </w:t>
      </w:r>
      <w:r w:rsidR="00F74360" w:rsidRPr="00496F78">
        <w:rPr>
          <w:rStyle w:val="cls-response"/>
          <w:rFonts w:ascii="Times New Roman" w:hAnsi="Times New Roman" w:cs="Times New Roman"/>
          <w:i/>
          <w:iCs/>
          <w:color w:val="000000" w:themeColor="text1"/>
          <w:sz w:val="24"/>
          <w:szCs w:val="24"/>
          <w:lang w:val="en-US"/>
        </w:rPr>
        <w:t>Journal of Management</w:t>
      </w:r>
      <w:r w:rsidR="00F74360" w:rsidRPr="00496F78">
        <w:rPr>
          <w:rStyle w:val="cls-response"/>
          <w:rFonts w:ascii="Times New Roman" w:hAnsi="Times New Roman" w:cs="Times New Roman"/>
          <w:color w:val="000000" w:themeColor="text1"/>
          <w:sz w:val="24"/>
          <w:szCs w:val="24"/>
          <w:lang w:val="en-US"/>
        </w:rPr>
        <w:t xml:space="preserve">, </w:t>
      </w:r>
      <w:r w:rsidR="00F74360" w:rsidRPr="00496F78">
        <w:rPr>
          <w:rStyle w:val="cls-response"/>
          <w:rFonts w:ascii="Times New Roman" w:hAnsi="Times New Roman" w:cs="Times New Roman"/>
          <w:iCs/>
          <w:color w:val="000000" w:themeColor="text1"/>
          <w:sz w:val="24"/>
          <w:szCs w:val="24"/>
          <w:lang w:val="en-US"/>
        </w:rPr>
        <w:t>12</w:t>
      </w:r>
      <w:r w:rsidR="00F74360" w:rsidRPr="00496F78">
        <w:rPr>
          <w:rStyle w:val="cls-response"/>
          <w:rFonts w:ascii="Times New Roman" w:hAnsi="Times New Roman" w:cs="Times New Roman"/>
          <w:color w:val="000000" w:themeColor="text1"/>
          <w:sz w:val="24"/>
          <w:szCs w:val="24"/>
          <w:lang w:val="en-US"/>
        </w:rPr>
        <w:t>(4), 531–544.</w:t>
      </w:r>
    </w:p>
    <w:p w:rsidR="002F0EC7" w:rsidRPr="00B75980" w:rsidRDefault="00C905A4" w:rsidP="005C7A9A">
      <w:pPr>
        <w:ind w:left="720" w:hanging="27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Poltronieri C.F., Ganga G.M.D., Gerolamo M.C. (2019).</w:t>
      </w:r>
      <w:proofErr w:type="gramEnd"/>
      <w:r w:rsidR="002F0EC7" w:rsidRPr="00B75980">
        <w:rPr>
          <w:rFonts w:ascii="Times New Roman" w:hAnsi="Times New Roman" w:cs="Times New Roman"/>
          <w:color w:val="000000" w:themeColor="text1"/>
          <w:sz w:val="24"/>
          <w:szCs w:val="24"/>
          <w:lang w:val="en-US"/>
        </w:rPr>
        <w:t xml:space="preserve"> </w:t>
      </w:r>
      <w:proofErr w:type="gramStart"/>
      <w:r w:rsidR="002F0EC7" w:rsidRPr="00B75980">
        <w:rPr>
          <w:rFonts w:ascii="Times New Roman" w:hAnsi="Times New Roman" w:cs="Times New Roman"/>
          <w:color w:val="000000" w:themeColor="text1"/>
          <w:sz w:val="24"/>
          <w:szCs w:val="24"/>
          <w:lang w:val="en-US"/>
        </w:rPr>
        <w:t>“Maturity in management system integration and its relationshi</w:t>
      </w:r>
      <w:r>
        <w:rPr>
          <w:rFonts w:ascii="Times New Roman" w:hAnsi="Times New Roman" w:cs="Times New Roman"/>
          <w:color w:val="000000" w:themeColor="text1"/>
          <w:sz w:val="24"/>
          <w:szCs w:val="24"/>
          <w:lang w:val="en-US"/>
        </w:rPr>
        <w:t>p with sustainable performance”.</w:t>
      </w:r>
      <w:proofErr w:type="gramEnd"/>
      <w:r w:rsidR="002F0EC7" w:rsidRPr="00B75980">
        <w:rPr>
          <w:rFonts w:ascii="Times New Roman" w:hAnsi="Times New Roman" w:cs="Times New Roman"/>
          <w:color w:val="000000" w:themeColor="text1"/>
          <w:sz w:val="24"/>
          <w:szCs w:val="24"/>
          <w:lang w:val="en-US"/>
        </w:rPr>
        <w:t xml:space="preserve"> </w:t>
      </w:r>
      <w:r w:rsidR="002F0EC7" w:rsidRPr="00B75980">
        <w:rPr>
          <w:rFonts w:ascii="Times New Roman" w:hAnsi="Times New Roman" w:cs="Times New Roman"/>
          <w:i/>
          <w:color w:val="000000" w:themeColor="text1"/>
          <w:sz w:val="24"/>
          <w:szCs w:val="24"/>
          <w:lang w:val="en-US"/>
        </w:rPr>
        <w:t>Journal of Cleaner Production</w:t>
      </w:r>
      <w:r w:rsidR="002F0EC7" w:rsidRPr="00B75980">
        <w:rPr>
          <w:rFonts w:ascii="Times New Roman" w:hAnsi="Times New Roman" w:cs="Times New Roman"/>
          <w:color w:val="000000" w:themeColor="text1"/>
          <w:sz w:val="24"/>
          <w:szCs w:val="24"/>
          <w:lang w:val="en-US"/>
        </w:rPr>
        <w:t>, 207, 236-247.</w:t>
      </w:r>
    </w:p>
    <w:p w:rsidR="002C6BFC" w:rsidRPr="00B75980" w:rsidRDefault="002C6BFC" w:rsidP="005C7A9A">
      <w:pPr>
        <w:autoSpaceDE w:val="0"/>
        <w:autoSpaceDN w:val="0"/>
        <w:adjustRightInd w:val="0"/>
        <w:ind w:left="720" w:hanging="270"/>
        <w:jc w:val="both"/>
        <w:rPr>
          <w:rFonts w:ascii="Times New Roman" w:hAnsi="Times New Roman" w:cs="Times New Roman"/>
          <w:color w:val="000000" w:themeColor="text1"/>
          <w:sz w:val="24"/>
          <w:szCs w:val="24"/>
          <w:lang w:val="en-US"/>
        </w:rPr>
      </w:pPr>
      <w:r w:rsidRPr="00B75980">
        <w:rPr>
          <w:rFonts w:ascii="Times New Roman" w:hAnsi="Times New Roman" w:cs="Times New Roman"/>
          <w:sz w:val="24"/>
          <w:szCs w:val="24"/>
          <w:lang w:val="en-US"/>
        </w:rPr>
        <w:t>Poltroni</w:t>
      </w:r>
      <w:r w:rsidR="00C905A4">
        <w:rPr>
          <w:rFonts w:ascii="Times New Roman" w:hAnsi="Times New Roman" w:cs="Times New Roman"/>
          <w:sz w:val="24"/>
          <w:szCs w:val="24"/>
          <w:lang w:val="en-US"/>
        </w:rPr>
        <w:t>eri</w:t>
      </w:r>
      <w:r w:rsidRPr="00B75980">
        <w:rPr>
          <w:rFonts w:ascii="Times New Roman" w:hAnsi="Times New Roman" w:cs="Times New Roman"/>
          <w:sz w:val="24"/>
          <w:szCs w:val="24"/>
          <w:lang w:val="en-US"/>
        </w:rPr>
        <w:t xml:space="preserve"> </w:t>
      </w:r>
      <w:r w:rsidR="00B75980" w:rsidRPr="00B75980">
        <w:rPr>
          <w:rFonts w:ascii="Times New Roman" w:hAnsi="Times New Roman" w:cs="Times New Roman"/>
          <w:sz w:val="24"/>
          <w:szCs w:val="24"/>
          <w:lang w:val="en-US"/>
        </w:rPr>
        <w:t xml:space="preserve">C.F., </w:t>
      </w:r>
      <w:r w:rsidR="00C905A4">
        <w:rPr>
          <w:rFonts w:ascii="Times New Roman" w:hAnsi="Times New Roman" w:cs="Times New Roman"/>
          <w:sz w:val="24"/>
          <w:szCs w:val="24"/>
          <w:lang w:val="en-US"/>
        </w:rPr>
        <w:t>Gerolamo</w:t>
      </w:r>
      <w:r w:rsidRPr="00B75980">
        <w:rPr>
          <w:rFonts w:ascii="Times New Roman" w:hAnsi="Times New Roman" w:cs="Times New Roman"/>
          <w:sz w:val="24"/>
          <w:szCs w:val="24"/>
          <w:lang w:val="en-US"/>
        </w:rPr>
        <w:t xml:space="preserve"> </w:t>
      </w:r>
      <w:r w:rsidR="00B75980" w:rsidRPr="00B75980">
        <w:rPr>
          <w:rFonts w:ascii="Times New Roman" w:hAnsi="Times New Roman" w:cs="Times New Roman"/>
          <w:sz w:val="24"/>
          <w:szCs w:val="24"/>
          <w:lang w:val="en-US"/>
        </w:rPr>
        <w:t xml:space="preserve">M.C., </w:t>
      </w:r>
      <w:r w:rsidRPr="00B75980">
        <w:rPr>
          <w:rFonts w:ascii="Times New Roman" w:hAnsi="Times New Roman" w:cs="Times New Roman"/>
          <w:sz w:val="24"/>
          <w:szCs w:val="24"/>
          <w:lang w:val="en-US"/>
        </w:rPr>
        <w:t>Dias</w:t>
      </w:r>
      <w:r w:rsidR="00B75980" w:rsidRPr="00B75980">
        <w:rPr>
          <w:rFonts w:ascii="Times New Roman" w:hAnsi="Times New Roman" w:cs="Times New Roman"/>
          <w:sz w:val="24"/>
          <w:szCs w:val="24"/>
          <w:lang w:val="en-US"/>
        </w:rPr>
        <w:t xml:space="preserve"> T.C.M., </w:t>
      </w:r>
      <w:r w:rsidRPr="00B75980">
        <w:rPr>
          <w:rFonts w:ascii="Times New Roman" w:hAnsi="Times New Roman" w:cs="Times New Roman"/>
          <w:sz w:val="24"/>
          <w:szCs w:val="24"/>
          <w:lang w:val="en-US"/>
        </w:rPr>
        <w:t>Cesar</w:t>
      </w:r>
      <w:r w:rsidR="00C905A4">
        <w:rPr>
          <w:rFonts w:ascii="Times New Roman" w:hAnsi="Times New Roman" w:cs="Times New Roman"/>
          <w:sz w:val="24"/>
          <w:szCs w:val="24"/>
          <w:lang w:val="en-US"/>
        </w:rPr>
        <w:t xml:space="preserve"> L.,</w:t>
      </w:r>
      <w:r w:rsidR="00B75980" w:rsidRPr="00B75980">
        <w:rPr>
          <w:rFonts w:ascii="Times New Roman" w:hAnsi="Times New Roman" w:cs="Times New Roman"/>
          <w:sz w:val="24"/>
          <w:szCs w:val="24"/>
          <w:lang w:val="en-US"/>
        </w:rPr>
        <w:t xml:space="preserve"> </w:t>
      </w:r>
      <w:r w:rsidRPr="00B75980">
        <w:rPr>
          <w:rFonts w:ascii="Times New Roman" w:hAnsi="Times New Roman" w:cs="Times New Roman"/>
          <w:sz w:val="24"/>
          <w:szCs w:val="24"/>
          <w:lang w:val="en-US"/>
        </w:rPr>
        <w:t>Carpinetti,</w:t>
      </w:r>
      <w:r w:rsidR="00B75980" w:rsidRPr="00B75980">
        <w:rPr>
          <w:rFonts w:ascii="Times New Roman" w:hAnsi="Times New Roman" w:cs="Times New Roman"/>
          <w:sz w:val="24"/>
          <w:szCs w:val="24"/>
          <w:lang w:val="en-US"/>
        </w:rPr>
        <w:t xml:space="preserve"> R. (2018)</w:t>
      </w:r>
      <w:r w:rsidR="00C905A4">
        <w:rPr>
          <w:rFonts w:ascii="Times New Roman" w:hAnsi="Times New Roman" w:cs="Times New Roman"/>
          <w:sz w:val="24"/>
          <w:szCs w:val="24"/>
          <w:lang w:val="en-US"/>
        </w:rPr>
        <w:t>.</w:t>
      </w:r>
      <w:r w:rsidR="00B75980" w:rsidRPr="00B75980">
        <w:rPr>
          <w:rFonts w:ascii="Times New Roman" w:hAnsi="Times New Roman" w:cs="Times New Roman"/>
          <w:sz w:val="24"/>
          <w:szCs w:val="24"/>
          <w:lang w:val="en-US"/>
        </w:rPr>
        <w:t xml:space="preserve"> </w:t>
      </w:r>
      <w:proofErr w:type="gramStart"/>
      <w:r w:rsidR="00B75980" w:rsidRPr="00B75980">
        <w:rPr>
          <w:rFonts w:ascii="Times New Roman" w:hAnsi="Times New Roman" w:cs="Times New Roman"/>
          <w:sz w:val="24"/>
          <w:szCs w:val="24"/>
          <w:lang w:val="en-US"/>
        </w:rPr>
        <w:t>“</w:t>
      </w:r>
      <w:r w:rsidRPr="00B75980">
        <w:rPr>
          <w:rFonts w:ascii="Times New Roman" w:hAnsi="Times New Roman" w:cs="Times New Roman"/>
          <w:sz w:val="24"/>
          <w:szCs w:val="24"/>
          <w:lang w:val="en-US"/>
        </w:rPr>
        <w:t>Instrument for evaluating IMS and sustainable performance</w:t>
      </w:r>
      <w:r w:rsidR="00B75980" w:rsidRPr="00B75980">
        <w:rPr>
          <w:rFonts w:ascii="Times New Roman" w:hAnsi="Times New Roman" w:cs="Times New Roman"/>
          <w:sz w:val="24"/>
          <w:szCs w:val="24"/>
          <w:lang w:val="en-US"/>
        </w:rPr>
        <w:t>”</w:t>
      </w:r>
      <w:r w:rsidR="00C905A4">
        <w:rPr>
          <w:rFonts w:ascii="Times New Roman" w:hAnsi="Times New Roman" w:cs="Times New Roman"/>
          <w:sz w:val="24"/>
          <w:szCs w:val="24"/>
          <w:lang w:val="en-US"/>
        </w:rPr>
        <w:t>.</w:t>
      </w:r>
      <w:proofErr w:type="gramEnd"/>
      <w:r w:rsidRPr="00B75980">
        <w:rPr>
          <w:rFonts w:ascii="Times New Roman" w:hAnsi="Times New Roman" w:cs="Times New Roman"/>
          <w:sz w:val="24"/>
          <w:szCs w:val="24"/>
          <w:lang w:val="en-US"/>
        </w:rPr>
        <w:t xml:space="preserve"> </w:t>
      </w:r>
      <w:r w:rsidRPr="00B75980">
        <w:rPr>
          <w:rFonts w:ascii="Times New Roman" w:hAnsi="Times New Roman" w:cs="Times New Roman"/>
          <w:i/>
          <w:sz w:val="24"/>
          <w:szCs w:val="24"/>
          <w:lang w:val="en-US"/>
        </w:rPr>
        <w:t>International</w:t>
      </w:r>
      <w:r w:rsidR="00B75980" w:rsidRPr="00B75980">
        <w:rPr>
          <w:rFonts w:ascii="Times New Roman" w:hAnsi="Times New Roman" w:cs="Times New Roman"/>
          <w:i/>
          <w:sz w:val="24"/>
          <w:szCs w:val="24"/>
          <w:lang w:val="en-US"/>
        </w:rPr>
        <w:t xml:space="preserve"> </w:t>
      </w:r>
      <w:r w:rsidRPr="00B75980">
        <w:rPr>
          <w:rFonts w:ascii="Times New Roman" w:hAnsi="Times New Roman" w:cs="Times New Roman"/>
          <w:i/>
          <w:sz w:val="24"/>
          <w:szCs w:val="24"/>
          <w:lang w:val="en-US"/>
        </w:rPr>
        <w:t>Journal of Quality &amp; Reliability Management</w:t>
      </w:r>
      <w:r w:rsidRPr="00B75980">
        <w:rPr>
          <w:rFonts w:ascii="Times New Roman" w:hAnsi="Times New Roman" w:cs="Times New Roman"/>
          <w:sz w:val="24"/>
          <w:szCs w:val="24"/>
          <w:lang w:val="en-US"/>
        </w:rPr>
        <w:t xml:space="preserve">, </w:t>
      </w:r>
      <w:r w:rsidR="00B75980" w:rsidRPr="00B75980">
        <w:rPr>
          <w:rFonts w:ascii="Times New Roman" w:hAnsi="Times New Roman" w:cs="Times New Roman"/>
          <w:sz w:val="24"/>
          <w:szCs w:val="24"/>
          <w:lang w:val="en-US"/>
        </w:rPr>
        <w:t>35(</w:t>
      </w:r>
      <w:r w:rsidRPr="00B75980">
        <w:rPr>
          <w:rFonts w:ascii="Times New Roman" w:hAnsi="Times New Roman" w:cs="Times New Roman"/>
          <w:sz w:val="24"/>
          <w:szCs w:val="24"/>
          <w:lang w:val="en-US"/>
        </w:rPr>
        <w:t>2</w:t>
      </w:r>
      <w:r w:rsidR="00B75980" w:rsidRPr="00B75980">
        <w:rPr>
          <w:rFonts w:ascii="Times New Roman" w:hAnsi="Times New Roman" w:cs="Times New Roman"/>
          <w:sz w:val="24"/>
          <w:szCs w:val="24"/>
          <w:lang w:val="en-US"/>
        </w:rPr>
        <w:t xml:space="preserve">), </w:t>
      </w:r>
      <w:r w:rsidRPr="00B75980">
        <w:rPr>
          <w:rFonts w:ascii="Times New Roman" w:hAnsi="Times New Roman" w:cs="Times New Roman"/>
          <w:sz w:val="24"/>
          <w:szCs w:val="24"/>
          <w:lang w:val="en-US"/>
        </w:rPr>
        <w:t>373-386</w:t>
      </w:r>
      <w:r w:rsidR="00B75980" w:rsidRPr="00B75980">
        <w:rPr>
          <w:rFonts w:ascii="Times New Roman" w:hAnsi="Times New Roman" w:cs="Times New Roman"/>
          <w:sz w:val="24"/>
          <w:szCs w:val="24"/>
          <w:lang w:val="en-US"/>
        </w:rPr>
        <w:t>.</w:t>
      </w:r>
    </w:p>
    <w:p w:rsidR="00D13B08" w:rsidRPr="00496F78" w:rsidRDefault="00C905A4" w:rsidP="005C7A9A">
      <w:pPr>
        <w:ind w:left="720" w:hanging="270"/>
        <w:jc w:val="both"/>
        <w:rPr>
          <w:rFonts w:ascii="Times New Roman" w:hAnsi="Times New Roman" w:cs="Times New Roman"/>
          <w:color w:val="000000" w:themeColor="text1"/>
          <w:sz w:val="24"/>
          <w:szCs w:val="24"/>
          <w:shd w:val="clear" w:color="auto" w:fill="FFFFFF"/>
          <w:lang w:val="en-US"/>
        </w:rPr>
      </w:pPr>
      <w:r w:rsidRPr="00496F78">
        <w:rPr>
          <w:rFonts w:ascii="Times New Roman" w:hAnsi="Times New Roman" w:cs="Times New Roman"/>
          <w:color w:val="000000" w:themeColor="text1"/>
          <w:sz w:val="24"/>
          <w:szCs w:val="24"/>
          <w:shd w:val="clear" w:color="auto" w:fill="FFFFFF"/>
          <w:lang w:val="en-US"/>
        </w:rPr>
        <w:t>Qi G., Zeng</w:t>
      </w:r>
      <w:r w:rsidR="00D13B08" w:rsidRPr="00496F78">
        <w:rPr>
          <w:rFonts w:ascii="Times New Roman" w:hAnsi="Times New Roman" w:cs="Times New Roman"/>
          <w:color w:val="000000" w:themeColor="text1"/>
          <w:sz w:val="24"/>
          <w:szCs w:val="24"/>
          <w:shd w:val="clear" w:color="auto" w:fill="FFFFFF"/>
          <w:lang w:val="en-US"/>
        </w:rPr>
        <w:t xml:space="preserve"> S., Li</w:t>
      </w:r>
      <w:r w:rsidRPr="00496F78">
        <w:rPr>
          <w:rFonts w:ascii="Times New Roman" w:hAnsi="Times New Roman" w:cs="Times New Roman"/>
          <w:color w:val="000000" w:themeColor="text1"/>
          <w:sz w:val="24"/>
          <w:szCs w:val="24"/>
          <w:shd w:val="clear" w:color="auto" w:fill="FFFFFF"/>
          <w:lang w:val="en-US"/>
        </w:rPr>
        <w:t xml:space="preserve"> X., </w:t>
      </w:r>
      <w:r w:rsidR="00D13B08" w:rsidRPr="00496F78">
        <w:rPr>
          <w:rFonts w:ascii="Times New Roman" w:hAnsi="Times New Roman" w:cs="Times New Roman"/>
          <w:color w:val="000000" w:themeColor="text1"/>
          <w:sz w:val="24"/>
          <w:szCs w:val="24"/>
          <w:shd w:val="clear" w:color="auto" w:fill="FFFFFF"/>
          <w:lang w:val="en-US"/>
        </w:rPr>
        <w:t>Tam C. (2012)</w:t>
      </w:r>
      <w:r w:rsidRPr="00496F78">
        <w:rPr>
          <w:rFonts w:ascii="Times New Roman" w:hAnsi="Times New Roman" w:cs="Times New Roman"/>
          <w:color w:val="000000" w:themeColor="text1"/>
          <w:sz w:val="24"/>
          <w:szCs w:val="24"/>
          <w:shd w:val="clear" w:color="auto" w:fill="FFFFFF"/>
          <w:lang w:val="en-US"/>
        </w:rPr>
        <w:t>.</w:t>
      </w:r>
      <w:r w:rsidR="00D13B08" w:rsidRPr="00496F78">
        <w:rPr>
          <w:rFonts w:ascii="Times New Roman" w:hAnsi="Times New Roman" w:cs="Times New Roman"/>
          <w:color w:val="000000" w:themeColor="text1"/>
          <w:sz w:val="24"/>
          <w:szCs w:val="24"/>
          <w:shd w:val="clear" w:color="auto" w:fill="FFFFFF"/>
          <w:lang w:val="en-US"/>
        </w:rPr>
        <w:t xml:space="preserve"> </w:t>
      </w:r>
      <w:r w:rsidR="00D13B08" w:rsidRPr="00B75980">
        <w:rPr>
          <w:rFonts w:ascii="Times New Roman" w:hAnsi="Times New Roman" w:cs="Times New Roman"/>
          <w:color w:val="000000" w:themeColor="text1"/>
          <w:sz w:val="24"/>
          <w:szCs w:val="24"/>
          <w:lang w:val="en-US"/>
        </w:rPr>
        <w:t>“</w:t>
      </w:r>
      <w:r w:rsidR="00D13B08" w:rsidRPr="00496F78">
        <w:rPr>
          <w:rFonts w:ascii="Times New Roman" w:hAnsi="Times New Roman" w:cs="Times New Roman"/>
          <w:color w:val="000000" w:themeColor="text1"/>
          <w:sz w:val="24"/>
          <w:szCs w:val="24"/>
          <w:shd w:val="clear" w:color="auto" w:fill="FFFFFF"/>
          <w:lang w:val="en-US"/>
        </w:rPr>
        <w:t xml:space="preserve">Role of Internalization Process in Defining the Relationship between ISO </w:t>
      </w:r>
      <w:proofErr w:type="gramStart"/>
      <w:r w:rsidR="00D13B08" w:rsidRPr="00496F78">
        <w:rPr>
          <w:rFonts w:ascii="Times New Roman" w:hAnsi="Times New Roman" w:cs="Times New Roman"/>
          <w:color w:val="000000" w:themeColor="text1"/>
          <w:sz w:val="24"/>
          <w:szCs w:val="24"/>
          <w:shd w:val="clear" w:color="auto" w:fill="FFFFFF"/>
          <w:lang w:val="en-US"/>
        </w:rPr>
        <w:t>14001 Certification</w:t>
      </w:r>
      <w:proofErr w:type="gramEnd"/>
      <w:r w:rsidR="00D13B08" w:rsidRPr="00496F78">
        <w:rPr>
          <w:rFonts w:ascii="Times New Roman" w:hAnsi="Times New Roman" w:cs="Times New Roman"/>
          <w:color w:val="000000" w:themeColor="text1"/>
          <w:sz w:val="24"/>
          <w:szCs w:val="24"/>
          <w:shd w:val="clear" w:color="auto" w:fill="FFFFFF"/>
          <w:lang w:val="en-US"/>
        </w:rPr>
        <w:t xml:space="preserve"> and Corporate Environmental Performance</w:t>
      </w:r>
      <w:r w:rsidR="00D13B08" w:rsidRPr="00B75980">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r w:rsidR="00D13B08" w:rsidRPr="00496F78">
        <w:rPr>
          <w:rFonts w:ascii="Times New Roman" w:hAnsi="Times New Roman" w:cs="Times New Roman"/>
          <w:color w:val="000000" w:themeColor="text1"/>
          <w:sz w:val="24"/>
          <w:szCs w:val="24"/>
          <w:shd w:val="clear" w:color="auto" w:fill="FFFFFF"/>
          <w:lang w:val="en-US"/>
        </w:rPr>
        <w:t xml:space="preserve"> </w:t>
      </w:r>
      <w:r w:rsidR="00D13B08" w:rsidRPr="00496F78">
        <w:rPr>
          <w:rFonts w:ascii="Times New Roman" w:hAnsi="Times New Roman" w:cs="Times New Roman"/>
          <w:i/>
          <w:color w:val="000000" w:themeColor="text1"/>
          <w:sz w:val="24"/>
          <w:szCs w:val="24"/>
          <w:shd w:val="clear" w:color="auto" w:fill="FFFFFF"/>
          <w:lang w:val="en-US"/>
        </w:rPr>
        <w:t>Corpopare Social Responsibility and Environmental Management</w:t>
      </w:r>
      <w:r w:rsidR="00D13B08" w:rsidRPr="00496F78">
        <w:rPr>
          <w:rFonts w:ascii="Times New Roman" w:hAnsi="Times New Roman" w:cs="Times New Roman"/>
          <w:color w:val="000000" w:themeColor="text1"/>
          <w:sz w:val="24"/>
          <w:szCs w:val="24"/>
          <w:shd w:val="clear" w:color="auto" w:fill="FFFFFF"/>
          <w:lang w:val="en-US"/>
        </w:rPr>
        <w:t>, 19, 129-140.</w:t>
      </w:r>
    </w:p>
    <w:p w:rsidR="00DC5A74" w:rsidRPr="002F0EC7" w:rsidRDefault="00C905A4" w:rsidP="005C7A9A">
      <w:pPr>
        <w:ind w:left="720" w:hanging="270"/>
        <w:jc w:val="both"/>
        <w:rPr>
          <w:rFonts w:ascii="Times New Roman" w:eastAsia="Times New Roman" w:hAnsi="Times New Roman" w:cs="Times New Roman"/>
          <w:color w:val="000000" w:themeColor="text1"/>
          <w:sz w:val="24"/>
          <w:szCs w:val="24"/>
          <w:lang w:val="en-GB"/>
        </w:rPr>
      </w:pPr>
      <w:proofErr w:type="gramStart"/>
      <w:r>
        <w:rPr>
          <w:rFonts w:ascii="Times New Roman" w:eastAsia="Times New Roman" w:hAnsi="Times New Roman" w:cs="Times New Roman"/>
          <w:color w:val="000000" w:themeColor="text1"/>
          <w:sz w:val="24"/>
          <w:szCs w:val="24"/>
          <w:lang w:val="en-GB"/>
        </w:rPr>
        <w:t>Rebelo</w:t>
      </w:r>
      <w:r w:rsidR="00DC5A74" w:rsidRPr="00B75980">
        <w:rPr>
          <w:rFonts w:ascii="Times New Roman" w:eastAsia="Times New Roman" w:hAnsi="Times New Roman" w:cs="Times New Roman"/>
          <w:color w:val="000000" w:themeColor="text1"/>
          <w:sz w:val="24"/>
          <w:szCs w:val="24"/>
          <w:lang w:val="en-GB"/>
        </w:rPr>
        <w:t xml:space="preserve"> M.</w:t>
      </w:r>
      <w:r>
        <w:rPr>
          <w:rFonts w:ascii="Times New Roman" w:eastAsia="Times New Roman" w:hAnsi="Times New Roman" w:cs="Times New Roman"/>
          <w:color w:val="000000" w:themeColor="text1"/>
          <w:sz w:val="24"/>
          <w:szCs w:val="24"/>
          <w:lang w:val="en-GB"/>
        </w:rPr>
        <w:t>F., Santos G.,</w:t>
      </w:r>
      <w:r w:rsidR="00DC5A74" w:rsidRPr="002F0EC7">
        <w:rPr>
          <w:rFonts w:ascii="Times New Roman" w:eastAsia="Times New Roman" w:hAnsi="Times New Roman" w:cs="Times New Roman"/>
          <w:color w:val="000000" w:themeColor="text1"/>
          <w:sz w:val="24"/>
          <w:szCs w:val="24"/>
          <w:lang w:val="en-GB"/>
        </w:rPr>
        <w:t xml:space="preserve"> Silva, R. (2016)</w:t>
      </w:r>
      <w:r>
        <w:rPr>
          <w:rFonts w:ascii="Times New Roman" w:eastAsia="Times New Roman" w:hAnsi="Times New Roman" w:cs="Times New Roman"/>
          <w:color w:val="000000" w:themeColor="text1"/>
          <w:sz w:val="24"/>
          <w:szCs w:val="24"/>
          <w:lang w:val="en-GB"/>
        </w:rPr>
        <w:t>.</w:t>
      </w:r>
      <w:proofErr w:type="gramEnd"/>
      <w:r w:rsidR="00DC5A74" w:rsidRPr="002F0EC7">
        <w:rPr>
          <w:rFonts w:ascii="Times New Roman" w:eastAsia="Times New Roman" w:hAnsi="Times New Roman" w:cs="Times New Roman"/>
          <w:color w:val="000000" w:themeColor="text1"/>
          <w:sz w:val="24"/>
          <w:szCs w:val="24"/>
          <w:lang w:val="en-GB"/>
        </w:rPr>
        <w:t xml:space="preserve"> </w:t>
      </w:r>
      <w:proofErr w:type="gramStart"/>
      <w:r w:rsidR="00DC5A74" w:rsidRPr="002F0EC7">
        <w:rPr>
          <w:rFonts w:ascii="Times New Roman" w:eastAsia="Times New Roman" w:hAnsi="Times New Roman" w:cs="Times New Roman"/>
          <w:color w:val="000000" w:themeColor="text1"/>
          <w:sz w:val="24"/>
          <w:szCs w:val="24"/>
          <w:lang w:val="en-GB"/>
        </w:rPr>
        <w:t>“Integration of management systems: towards a sustained success an</w:t>
      </w:r>
      <w:r>
        <w:rPr>
          <w:rFonts w:ascii="Times New Roman" w:eastAsia="Times New Roman" w:hAnsi="Times New Roman" w:cs="Times New Roman"/>
          <w:color w:val="000000" w:themeColor="text1"/>
          <w:sz w:val="24"/>
          <w:szCs w:val="24"/>
          <w:lang w:val="en-GB"/>
        </w:rPr>
        <w:t>d development of organizations”.</w:t>
      </w:r>
      <w:proofErr w:type="gramEnd"/>
      <w:r w:rsidR="00DC5A74" w:rsidRPr="002F0EC7">
        <w:rPr>
          <w:rFonts w:ascii="Times New Roman" w:eastAsia="Times New Roman" w:hAnsi="Times New Roman" w:cs="Times New Roman"/>
          <w:color w:val="000000" w:themeColor="text1"/>
          <w:sz w:val="24"/>
          <w:szCs w:val="24"/>
          <w:lang w:val="en-GB"/>
        </w:rPr>
        <w:t xml:space="preserve"> </w:t>
      </w:r>
      <w:r w:rsidR="00DC5A74" w:rsidRPr="002F0EC7">
        <w:rPr>
          <w:rFonts w:ascii="Times New Roman" w:eastAsia="Times New Roman" w:hAnsi="Times New Roman" w:cs="Times New Roman"/>
          <w:i/>
          <w:color w:val="000000" w:themeColor="text1"/>
          <w:sz w:val="24"/>
          <w:szCs w:val="24"/>
          <w:lang w:val="en-GB"/>
        </w:rPr>
        <w:t>Journal of Cleaner Production</w:t>
      </w:r>
      <w:r w:rsidR="005C3891" w:rsidRPr="002F0EC7">
        <w:rPr>
          <w:rFonts w:ascii="Times New Roman" w:eastAsia="Times New Roman" w:hAnsi="Times New Roman" w:cs="Times New Roman"/>
          <w:color w:val="000000" w:themeColor="text1"/>
          <w:sz w:val="24"/>
          <w:szCs w:val="24"/>
          <w:lang w:val="en-GB"/>
        </w:rPr>
        <w:t xml:space="preserve">, 127, </w:t>
      </w:r>
      <w:r w:rsidR="00DC5A74" w:rsidRPr="002F0EC7">
        <w:rPr>
          <w:rFonts w:ascii="Times New Roman" w:eastAsia="Times New Roman" w:hAnsi="Times New Roman" w:cs="Times New Roman"/>
          <w:color w:val="000000" w:themeColor="text1"/>
          <w:sz w:val="24"/>
          <w:szCs w:val="24"/>
          <w:lang w:val="en-GB"/>
        </w:rPr>
        <w:t>96-111.</w:t>
      </w:r>
    </w:p>
    <w:p w:rsidR="00964544" w:rsidRPr="002F0EC7" w:rsidRDefault="00964544" w:rsidP="005C7A9A">
      <w:pPr>
        <w:tabs>
          <w:tab w:val="left" w:pos="360"/>
          <w:tab w:val="left" w:pos="709"/>
        </w:tabs>
        <w:ind w:left="720" w:hanging="270"/>
        <w:jc w:val="both"/>
        <w:rPr>
          <w:rFonts w:ascii="Times New Roman" w:hAnsi="Times New Roman" w:cs="Times New Roman"/>
          <w:color w:val="000000" w:themeColor="text1"/>
          <w:sz w:val="24"/>
          <w:szCs w:val="24"/>
          <w:lang w:val="en-US"/>
        </w:rPr>
      </w:pPr>
      <w:r w:rsidRPr="00496F78">
        <w:rPr>
          <w:rFonts w:ascii="Times New Roman" w:hAnsi="Times New Roman" w:cs="Times New Roman"/>
          <w:color w:val="000000" w:themeColor="text1"/>
          <w:sz w:val="24"/>
          <w:szCs w:val="24"/>
          <w:lang w:val="en-US"/>
        </w:rPr>
        <w:t>Savino</w:t>
      </w:r>
      <w:r w:rsidR="00DA3C66" w:rsidRPr="00496F78">
        <w:rPr>
          <w:rFonts w:ascii="Times New Roman" w:hAnsi="Times New Roman" w:cs="Times New Roman"/>
          <w:color w:val="000000" w:themeColor="text1"/>
          <w:sz w:val="24"/>
          <w:szCs w:val="24"/>
          <w:lang w:val="en-US"/>
        </w:rPr>
        <w:t xml:space="preserve"> M.M., Batbaatar, E. (2015).</w:t>
      </w:r>
      <w:r w:rsidRPr="00496F78">
        <w:rPr>
          <w:rFonts w:ascii="Times New Roman" w:hAnsi="Times New Roman" w:cs="Times New Roman"/>
          <w:color w:val="000000" w:themeColor="text1"/>
          <w:sz w:val="24"/>
          <w:szCs w:val="24"/>
          <w:lang w:val="en-US"/>
        </w:rPr>
        <w:t xml:space="preserve"> </w:t>
      </w:r>
      <w:proofErr w:type="gramStart"/>
      <w:r w:rsidR="005C3891" w:rsidRPr="002F0EC7">
        <w:rPr>
          <w:rFonts w:ascii="Times New Roman" w:eastAsia="Times New Roman" w:hAnsi="Times New Roman" w:cs="Times New Roman"/>
          <w:color w:val="000000" w:themeColor="text1"/>
          <w:sz w:val="24"/>
          <w:szCs w:val="24"/>
          <w:lang w:val="en-GB"/>
        </w:rPr>
        <w:t>“</w:t>
      </w:r>
      <w:r w:rsidRPr="00496F78">
        <w:rPr>
          <w:rFonts w:ascii="Times New Roman" w:hAnsi="Times New Roman" w:cs="Times New Roman"/>
          <w:color w:val="000000" w:themeColor="text1"/>
          <w:sz w:val="24"/>
          <w:szCs w:val="24"/>
          <w:lang w:val="en-US"/>
        </w:rPr>
        <w:t>Investigating the resources for Integrated Management Systems within resource-based and contingency perspective in manufacturing firms</w:t>
      </w:r>
      <w:r w:rsidR="00DA3C66">
        <w:rPr>
          <w:rFonts w:ascii="Times New Roman" w:eastAsia="Times New Roman" w:hAnsi="Times New Roman" w:cs="Times New Roman"/>
          <w:color w:val="000000" w:themeColor="text1"/>
          <w:sz w:val="24"/>
          <w:szCs w:val="24"/>
          <w:lang w:val="en-GB"/>
        </w:rPr>
        <w:t>”.</w:t>
      </w:r>
      <w:proofErr w:type="gramEnd"/>
      <w:r w:rsidRPr="00496F78">
        <w:rPr>
          <w:rFonts w:ascii="Times New Roman" w:hAnsi="Times New Roman" w:cs="Times New Roman"/>
          <w:color w:val="000000" w:themeColor="text1"/>
          <w:sz w:val="24"/>
          <w:szCs w:val="24"/>
          <w:lang w:val="en-US"/>
        </w:rPr>
        <w:t xml:space="preserve"> </w:t>
      </w:r>
      <w:r w:rsidRPr="00496F78">
        <w:rPr>
          <w:rFonts w:ascii="Times New Roman" w:hAnsi="Times New Roman" w:cs="Times New Roman"/>
          <w:i/>
          <w:color w:val="000000" w:themeColor="text1"/>
          <w:sz w:val="24"/>
          <w:szCs w:val="24"/>
          <w:lang w:val="en-US"/>
        </w:rPr>
        <w:t>Journal of Cleaner Production</w:t>
      </w:r>
      <w:r w:rsidRPr="00496F78">
        <w:rPr>
          <w:rFonts w:ascii="Times New Roman" w:hAnsi="Times New Roman" w:cs="Times New Roman"/>
          <w:color w:val="000000" w:themeColor="text1"/>
          <w:sz w:val="24"/>
          <w:szCs w:val="24"/>
          <w:lang w:val="en-US"/>
        </w:rPr>
        <w:t>, 104, 392-402.</w:t>
      </w:r>
    </w:p>
    <w:p w:rsidR="00964544" w:rsidRPr="00496F78" w:rsidRDefault="00964544" w:rsidP="005C7A9A">
      <w:pPr>
        <w:tabs>
          <w:tab w:val="left" w:pos="360"/>
        </w:tabs>
        <w:ind w:left="720" w:hanging="270"/>
        <w:jc w:val="both"/>
        <w:rPr>
          <w:rFonts w:ascii="Times New Roman" w:hAnsi="Times New Roman" w:cs="Times New Roman"/>
          <w:color w:val="000000" w:themeColor="text1"/>
          <w:sz w:val="24"/>
          <w:szCs w:val="24"/>
          <w:lang w:val="en-US"/>
        </w:rPr>
      </w:pPr>
      <w:proofErr w:type="gramStart"/>
      <w:r w:rsidRPr="00496F78">
        <w:rPr>
          <w:rFonts w:ascii="Times New Roman" w:hAnsi="Times New Roman" w:cs="Times New Roman"/>
          <w:color w:val="000000" w:themeColor="text1"/>
          <w:sz w:val="24"/>
          <w:szCs w:val="24"/>
          <w:lang w:val="en-US"/>
        </w:rPr>
        <w:t>Sav</w:t>
      </w:r>
      <w:r w:rsidR="00DA3C66" w:rsidRPr="00496F78">
        <w:rPr>
          <w:rFonts w:ascii="Times New Roman" w:hAnsi="Times New Roman" w:cs="Times New Roman"/>
          <w:color w:val="000000" w:themeColor="text1"/>
          <w:sz w:val="24"/>
          <w:szCs w:val="24"/>
          <w:lang w:val="en-US"/>
        </w:rPr>
        <w:t>ino M.M.,</w:t>
      </w:r>
      <w:r w:rsidR="005C3891" w:rsidRPr="00496F78">
        <w:rPr>
          <w:rFonts w:ascii="Times New Roman" w:hAnsi="Times New Roman" w:cs="Times New Roman"/>
          <w:color w:val="000000" w:themeColor="text1"/>
          <w:sz w:val="24"/>
          <w:szCs w:val="24"/>
          <w:lang w:val="en-US"/>
        </w:rPr>
        <w:t xml:space="preserve"> Shafiq, M. (201</w:t>
      </w:r>
      <w:r w:rsidR="00DA3C66" w:rsidRPr="00496F78">
        <w:rPr>
          <w:rFonts w:ascii="Times New Roman" w:hAnsi="Times New Roman" w:cs="Times New Roman"/>
          <w:color w:val="000000" w:themeColor="text1"/>
          <w:sz w:val="24"/>
          <w:szCs w:val="24"/>
          <w:lang w:val="en-US"/>
        </w:rPr>
        <w:t>8</w:t>
      </w:r>
      <w:r w:rsidR="005C3891" w:rsidRPr="00496F78">
        <w:rPr>
          <w:rFonts w:ascii="Times New Roman" w:hAnsi="Times New Roman" w:cs="Times New Roman"/>
          <w:color w:val="000000" w:themeColor="text1"/>
          <w:sz w:val="24"/>
          <w:szCs w:val="24"/>
          <w:lang w:val="en-US"/>
        </w:rPr>
        <w:t>),</w:t>
      </w:r>
      <w:r w:rsidRPr="00496F78">
        <w:rPr>
          <w:rFonts w:ascii="Times New Roman" w:hAnsi="Times New Roman" w:cs="Times New Roman"/>
          <w:color w:val="000000" w:themeColor="text1"/>
          <w:sz w:val="24"/>
          <w:szCs w:val="24"/>
          <w:lang w:val="en-US"/>
        </w:rPr>
        <w:t xml:space="preserve"> </w:t>
      </w:r>
      <w:r w:rsidR="005C3891" w:rsidRPr="002F0EC7">
        <w:rPr>
          <w:rFonts w:ascii="Times New Roman" w:eastAsia="Times New Roman" w:hAnsi="Times New Roman" w:cs="Times New Roman"/>
          <w:color w:val="000000" w:themeColor="text1"/>
          <w:sz w:val="24"/>
          <w:szCs w:val="24"/>
          <w:lang w:val="en-GB"/>
        </w:rPr>
        <w:t>“</w:t>
      </w:r>
      <w:r w:rsidRPr="00496F78">
        <w:rPr>
          <w:rFonts w:ascii="Times New Roman" w:hAnsi="Times New Roman" w:cs="Times New Roman"/>
          <w:color w:val="000000" w:themeColor="text1"/>
          <w:sz w:val="24"/>
          <w:szCs w:val="24"/>
          <w:lang w:val="en-US"/>
        </w:rPr>
        <w:t>An extensive study to assess the sustainability drivers of production performances using a resource-based view and contingency analy</w:t>
      </w:r>
      <w:r w:rsidR="005C3891" w:rsidRPr="00496F78">
        <w:rPr>
          <w:rFonts w:ascii="Times New Roman" w:hAnsi="Times New Roman" w:cs="Times New Roman"/>
          <w:color w:val="000000" w:themeColor="text1"/>
          <w:sz w:val="24"/>
          <w:szCs w:val="24"/>
          <w:lang w:val="en-US"/>
        </w:rPr>
        <w:t>sis</w:t>
      </w:r>
      <w:r w:rsidR="005C3891" w:rsidRPr="002F0EC7">
        <w:rPr>
          <w:rFonts w:ascii="Times New Roman" w:eastAsia="Times New Roman" w:hAnsi="Times New Roman" w:cs="Times New Roman"/>
          <w:color w:val="000000" w:themeColor="text1"/>
          <w:sz w:val="24"/>
          <w:szCs w:val="24"/>
          <w:lang w:val="en-GB"/>
        </w:rPr>
        <w:t>”,</w:t>
      </w:r>
      <w:r w:rsidRPr="00496F78">
        <w:rPr>
          <w:rFonts w:ascii="Times New Roman" w:hAnsi="Times New Roman" w:cs="Times New Roman"/>
          <w:color w:val="000000" w:themeColor="text1"/>
          <w:sz w:val="24"/>
          <w:szCs w:val="24"/>
          <w:lang w:val="en-US"/>
        </w:rPr>
        <w:t xml:space="preserve"> </w:t>
      </w:r>
      <w:r w:rsidRPr="00496F78">
        <w:rPr>
          <w:rFonts w:ascii="Times New Roman" w:hAnsi="Times New Roman" w:cs="Times New Roman"/>
          <w:i/>
          <w:color w:val="000000" w:themeColor="text1"/>
          <w:sz w:val="24"/>
          <w:szCs w:val="24"/>
          <w:lang w:val="en-US"/>
        </w:rPr>
        <w:t>Journal of Cleaner Production</w:t>
      </w:r>
      <w:r w:rsidRPr="00496F78">
        <w:rPr>
          <w:rFonts w:ascii="Times New Roman" w:hAnsi="Times New Roman" w:cs="Times New Roman"/>
          <w:color w:val="000000" w:themeColor="text1"/>
          <w:sz w:val="24"/>
          <w:szCs w:val="24"/>
          <w:lang w:val="en-US"/>
        </w:rPr>
        <w:t>, 204, 744-752.</w:t>
      </w:r>
      <w:proofErr w:type="gramEnd"/>
    </w:p>
    <w:p w:rsidR="00EB5A3C" w:rsidRPr="002F0EC7" w:rsidRDefault="00DA3C66" w:rsidP="005C7A9A">
      <w:pPr>
        <w:tabs>
          <w:tab w:val="left" w:pos="360"/>
        </w:tabs>
        <w:ind w:left="720" w:hanging="270"/>
        <w:jc w:val="both"/>
        <w:rPr>
          <w:rFonts w:ascii="Times New Roman" w:hAnsi="Times New Roman" w:cs="Times New Roman"/>
          <w:color w:val="000000" w:themeColor="text1"/>
          <w:sz w:val="24"/>
          <w:szCs w:val="24"/>
          <w:shd w:val="clear" w:color="auto" w:fill="FFFFFF"/>
          <w:lang w:val="en-GB"/>
        </w:rPr>
      </w:pPr>
      <w:r>
        <w:rPr>
          <w:rStyle w:val="w1"/>
          <w:rFonts w:ascii="Times New Roman" w:eastAsia="Calibri" w:hAnsi="Times New Roman" w:cs="Times New Roman"/>
          <w:color w:val="000000" w:themeColor="text1"/>
          <w:sz w:val="24"/>
          <w:szCs w:val="24"/>
          <w:lang w:val="en-GB"/>
        </w:rPr>
        <w:t>Simon A.,</w:t>
      </w:r>
      <w:r w:rsidR="00EB5A3C" w:rsidRPr="002F0EC7">
        <w:rPr>
          <w:rStyle w:val="w1"/>
          <w:rFonts w:ascii="Times New Roman" w:eastAsia="Calibri" w:hAnsi="Times New Roman" w:cs="Times New Roman"/>
          <w:color w:val="000000" w:themeColor="text1"/>
          <w:sz w:val="24"/>
          <w:szCs w:val="24"/>
          <w:lang w:val="en-GB"/>
        </w:rPr>
        <w:t xml:space="preserve"> Bernardo</w:t>
      </w:r>
      <w:r>
        <w:rPr>
          <w:rStyle w:val="w1"/>
          <w:rFonts w:ascii="Times New Roman" w:eastAsia="Calibri" w:hAnsi="Times New Roman" w:cs="Times New Roman"/>
          <w:color w:val="000000" w:themeColor="text1"/>
          <w:sz w:val="24"/>
          <w:szCs w:val="24"/>
          <w:lang w:val="en-GB"/>
        </w:rPr>
        <w:t xml:space="preserve"> M. (2014).</w:t>
      </w:r>
      <w:r w:rsidR="00EB5A3C" w:rsidRPr="002F0EC7">
        <w:rPr>
          <w:rStyle w:val="w1"/>
          <w:rFonts w:ascii="Times New Roman" w:eastAsia="Calibri" w:hAnsi="Times New Roman" w:cs="Times New Roman"/>
          <w:color w:val="000000" w:themeColor="text1"/>
          <w:sz w:val="24"/>
          <w:szCs w:val="24"/>
          <w:lang w:val="en-GB"/>
        </w:rPr>
        <w:t xml:space="preserve"> </w:t>
      </w:r>
      <w:r w:rsidR="00EB5A3C" w:rsidRPr="00DA3C66">
        <w:rPr>
          <w:rStyle w:val="w1"/>
          <w:rFonts w:ascii="Times New Roman" w:eastAsia="Calibri" w:hAnsi="Times New Roman" w:cs="Times New Roman"/>
          <w:color w:val="auto"/>
          <w:sz w:val="24"/>
          <w:szCs w:val="24"/>
          <w:lang w:val="en-GB"/>
        </w:rPr>
        <w:t>“</w:t>
      </w:r>
      <w:r w:rsidR="00EB5A3C" w:rsidRPr="00DA3C66">
        <w:rPr>
          <w:rFonts w:ascii="Times New Roman" w:hAnsi="Times New Roman" w:cs="Times New Roman"/>
          <w:sz w:val="24"/>
          <w:szCs w:val="24"/>
          <w:lang w:val="en-GB"/>
        </w:rPr>
        <w:t>How does human resources management influence the implementation of integrated management systems?</w:t>
      </w:r>
      <w:proofErr w:type="gramStart"/>
      <w:r w:rsidRPr="00DA3C66">
        <w:rPr>
          <w:rStyle w:val="w1"/>
          <w:rFonts w:ascii="Times New Roman" w:eastAsia="Calibri" w:hAnsi="Times New Roman" w:cs="Times New Roman"/>
          <w:color w:val="auto"/>
          <w:sz w:val="24"/>
          <w:szCs w:val="24"/>
          <w:lang w:val="en-GB"/>
        </w:rPr>
        <w:t>”.</w:t>
      </w:r>
      <w:proofErr w:type="gramEnd"/>
      <w:r w:rsidR="00EB5A3C" w:rsidRPr="00DA3C66">
        <w:rPr>
          <w:rStyle w:val="w1"/>
          <w:rFonts w:ascii="Times New Roman" w:eastAsia="Calibri" w:hAnsi="Times New Roman" w:cs="Times New Roman"/>
          <w:color w:val="auto"/>
          <w:sz w:val="24"/>
          <w:szCs w:val="24"/>
          <w:lang w:val="en-GB"/>
        </w:rPr>
        <w:t xml:space="preserve"> </w:t>
      </w:r>
      <w:proofErr w:type="gramStart"/>
      <w:r w:rsidR="00EB5A3C" w:rsidRPr="00DA3C66">
        <w:rPr>
          <w:rFonts w:ascii="Times New Roman" w:hAnsi="Times New Roman" w:cs="Times New Roman"/>
          <w:i/>
          <w:iCs/>
          <w:sz w:val="24"/>
          <w:szCs w:val="24"/>
          <w:shd w:val="clear" w:color="auto" w:fill="FFFFFF"/>
          <w:lang w:val="en-GB"/>
        </w:rPr>
        <w:t>1</w:t>
      </w:r>
      <w:r w:rsidR="00EB5A3C" w:rsidRPr="00DA3C66">
        <w:rPr>
          <w:rFonts w:ascii="Times New Roman" w:hAnsi="Times New Roman" w:cs="Times New Roman"/>
          <w:i/>
          <w:iCs/>
          <w:sz w:val="24"/>
          <w:szCs w:val="24"/>
          <w:shd w:val="clear" w:color="auto" w:fill="FFFFFF"/>
          <w:vertAlign w:val="superscript"/>
          <w:lang w:val="en-GB"/>
        </w:rPr>
        <w:t>st</w:t>
      </w:r>
      <w:r w:rsidR="00EB5A3C" w:rsidRPr="00DA3C66">
        <w:rPr>
          <w:rFonts w:ascii="Times New Roman" w:hAnsi="Times New Roman" w:cs="Times New Roman"/>
          <w:i/>
          <w:iCs/>
          <w:sz w:val="24"/>
          <w:szCs w:val="24"/>
          <w:shd w:val="clear" w:color="auto" w:fill="FFFFFF"/>
          <w:lang w:val="en-GB"/>
        </w:rPr>
        <w:t xml:space="preserve"> International Conference on </w:t>
      </w:r>
      <w:r w:rsidR="00EB5A3C" w:rsidRPr="00DA3C66">
        <w:rPr>
          <w:rFonts w:ascii="Times New Roman" w:hAnsi="Times New Roman" w:cs="Times New Roman"/>
          <w:i/>
          <w:iCs/>
          <w:sz w:val="24"/>
          <w:szCs w:val="24"/>
          <w:shd w:val="clear" w:color="auto" w:fill="FFFFFF"/>
          <w:lang w:val="en-GB"/>
        </w:rPr>
        <w:lastRenderedPageBreak/>
        <w:t>Quality Engineering and Management, Proceedings Book</w:t>
      </w:r>
      <w:r w:rsidR="00EB5A3C" w:rsidRPr="00DA3C66">
        <w:rPr>
          <w:rFonts w:ascii="Times New Roman" w:hAnsi="Times New Roman" w:cs="Times New Roman"/>
          <w:sz w:val="24"/>
          <w:szCs w:val="24"/>
          <w:shd w:val="clear" w:color="auto" w:fill="FFFFFF"/>
          <w:lang w:val="en-GB"/>
        </w:rPr>
        <w:t xml:space="preserve">, </w:t>
      </w:r>
      <w:r w:rsidR="00EB5A3C" w:rsidRPr="00DA3C66">
        <w:rPr>
          <w:rStyle w:val="w1"/>
          <w:rFonts w:ascii="Times New Roman" w:eastAsia="Calibri" w:hAnsi="Times New Roman" w:cs="Times New Roman"/>
          <w:color w:val="auto"/>
          <w:sz w:val="24"/>
          <w:szCs w:val="24"/>
          <w:lang w:val="en-GB"/>
        </w:rPr>
        <w:t xml:space="preserve">291-302, </w:t>
      </w:r>
      <w:r w:rsidR="00EB5A3C" w:rsidRPr="00DA3C66">
        <w:rPr>
          <w:rFonts w:ascii="Times New Roman" w:hAnsi="Times New Roman" w:cs="Times New Roman"/>
          <w:sz w:val="24"/>
          <w:szCs w:val="24"/>
          <w:shd w:val="clear" w:color="auto" w:fill="FFFFFF"/>
          <w:lang w:val="en-GB"/>
        </w:rPr>
        <w:t>14</w:t>
      </w:r>
      <w:r w:rsidR="00EB5A3C" w:rsidRPr="00DA3C66">
        <w:rPr>
          <w:rFonts w:ascii="Times New Roman" w:hAnsi="Times New Roman" w:cs="Times New Roman"/>
          <w:sz w:val="24"/>
          <w:szCs w:val="24"/>
          <w:shd w:val="clear" w:color="auto" w:fill="FFFFFF"/>
          <w:vertAlign w:val="superscript"/>
          <w:lang w:val="en-GB"/>
        </w:rPr>
        <w:t>th</w:t>
      </w:r>
      <w:r w:rsidR="00EB5A3C" w:rsidRPr="00DA3C66">
        <w:rPr>
          <w:rFonts w:ascii="Times New Roman" w:hAnsi="Times New Roman" w:cs="Times New Roman"/>
          <w:sz w:val="24"/>
          <w:szCs w:val="24"/>
          <w:shd w:val="clear" w:color="auto" w:fill="FFFFFF"/>
          <w:lang w:val="en-GB"/>
        </w:rPr>
        <w:t>-16</w:t>
      </w:r>
      <w:r w:rsidR="00EB5A3C" w:rsidRPr="00DA3C66">
        <w:rPr>
          <w:rFonts w:ascii="Times New Roman" w:hAnsi="Times New Roman" w:cs="Times New Roman"/>
          <w:sz w:val="24"/>
          <w:szCs w:val="24"/>
          <w:shd w:val="clear" w:color="auto" w:fill="FFFFFF"/>
          <w:vertAlign w:val="superscript"/>
          <w:lang w:val="en-GB"/>
        </w:rPr>
        <w:t>th</w:t>
      </w:r>
      <w:r w:rsidR="00EB5A3C" w:rsidRPr="00DA3C66">
        <w:rPr>
          <w:rFonts w:ascii="Times New Roman" w:hAnsi="Times New Roman" w:cs="Times New Roman"/>
          <w:sz w:val="24"/>
          <w:szCs w:val="24"/>
          <w:shd w:val="clear" w:color="auto" w:fill="FFFFFF"/>
          <w:lang w:val="en-GB"/>
        </w:rPr>
        <w:t xml:space="preserve"> September, Guimarães, Portugal.</w:t>
      </w:r>
      <w:proofErr w:type="gramEnd"/>
    </w:p>
    <w:p w:rsidR="00DC5A74" w:rsidRPr="002F0EC7" w:rsidRDefault="00DA3C66" w:rsidP="005C7A9A">
      <w:pPr>
        <w:ind w:left="720" w:hanging="27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Simon</w:t>
      </w:r>
      <w:r w:rsidR="00DC5A74" w:rsidRPr="002F0EC7">
        <w:rPr>
          <w:rFonts w:ascii="Times New Roman" w:hAnsi="Times New Roman" w:cs="Times New Roman"/>
          <w:color w:val="000000" w:themeColor="text1"/>
          <w:sz w:val="24"/>
          <w:szCs w:val="24"/>
          <w:lang w:val="en-GB"/>
        </w:rPr>
        <w:t xml:space="preserve"> A., Karapetrovic</w:t>
      </w:r>
      <w:r>
        <w:rPr>
          <w:rFonts w:ascii="Times New Roman" w:hAnsi="Times New Roman" w:cs="Times New Roman"/>
          <w:color w:val="000000" w:themeColor="text1"/>
          <w:sz w:val="24"/>
          <w:szCs w:val="24"/>
          <w:lang w:val="en-GB"/>
        </w:rPr>
        <w:t xml:space="preserve"> S., Casadesús, M. (2012a).</w:t>
      </w:r>
      <w:r w:rsidR="00DC5A74" w:rsidRPr="002F0EC7">
        <w:rPr>
          <w:rFonts w:ascii="Times New Roman" w:hAnsi="Times New Roman" w:cs="Times New Roman"/>
          <w:color w:val="000000" w:themeColor="text1"/>
          <w:sz w:val="24"/>
          <w:szCs w:val="24"/>
          <w:lang w:val="en-GB"/>
        </w:rPr>
        <w:t xml:space="preserve"> </w:t>
      </w:r>
      <w:proofErr w:type="gramStart"/>
      <w:r w:rsidR="00DC5A74" w:rsidRPr="002F0EC7">
        <w:rPr>
          <w:rFonts w:ascii="Times New Roman" w:hAnsi="Times New Roman" w:cs="Times New Roman"/>
          <w:color w:val="000000" w:themeColor="text1"/>
          <w:sz w:val="24"/>
          <w:szCs w:val="24"/>
          <w:lang w:val="en-GB"/>
        </w:rPr>
        <w:t>“Evolution of integrated management systems in Spanish firms”,</w:t>
      </w:r>
      <w:r>
        <w:rPr>
          <w:rFonts w:ascii="Times New Roman" w:hAnsi="Times New Roman" w:cs="Times New Roman"/>
          <w:color w:val="000000" w:themeColor="text1"/>
          <w:sz w:val="24"/>
          <w:szCs w:val="24"/>
          <w:lang w:val="en-GB"/>
        </w:rPr>
        <w:t xml:space="preserve"> </w:t>
      </w:r>
      <w:r w:rsidR="00DC5A74" w:rsidRPr="002F0EC7">
        <w:rPr>
          <w:rFonts w:ascii="Times New Roman" w:hAnsi="Times New Roman" w:cs="Times New Roman"/>
          <w:i/>
          <w:color w:val="000000" w:themeColor="text1"/>
          <w:sz w:val="24"/>
          <w:szCs w:val="24"/>
          <w:lang w:val="en-GB"/>
        </w:rPr>
        <w:t>Journal of Cleaner Production</w:t>
      </w:r>
      <w:r>
        <w:rPr>
          <w:rFonts w:ascii="Times New Roman" w:hAnsi="Times New Roman" w:cs="Times New Roman"/>
          <w:color w:val="000000" w:themeColor="text1"/>
          <w:sz w:val="24"/>
          <w:szCs w:val="24"/>
          <w:lang w:val="en-GB"/>
        </w:rPr>
        <w:t>, 23(</w:t>
      </w:r>
      <w:r w:rsidR="00DC5A74" w:rsidRPr="002F0EC7">
        <w:rPr>
          <w:rFonts w:ascii="Times New Roman" w:hAnsi="Times New Roman" w:cs="Times New Roman"/>
          <w:color w:val="000000" w:themeColor="text1"/>
          <w:sz w:val="24"/>
          <w:szCs w:val="24"/>
          <w:lang w:val="en-GB"/>
        </w:rPr>
        <w:t>1</w:t>
      </w:r>
      <w:r>
        <w:rPr>
          <w:rFonts w:ascii="Times New Roman" w:hAnsi="Times New Roman" w:cs="Times New Roman"/>
          <w:color w:val="000000" w:themeColor="text1"/>
          <w:sz w:val="24"/>
          <w:szCs w:val="24"/>
          <w:lang w:val="en-GB"/>
        </w:rPr>
        <w:t>)</w:t>
      </w:r>
      <w:r w:rsidR="00DC5A74" w:rsidRPr="002F0EC7">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 </w:t>
      </w:r>
      <w:r w:rsidR="00DC5A74" w:rsidRPr="002F0EC7">
        <w:rPr>
          <w:rFonts w:ascii="Times New Roman" w:hAnsi="Times New Roman" w:cs="Times New Roman"/>
          <w:color w:val="000000" w:themeColor="text1"/>
          <w:sz w:val="24"/>
          <w:szCs w:val="24"/>
          <w:lang w:val="en-GB"/>
        </w:rPr>
        <w:t>8-19.</w:t>
      </w:r>
      <w:proofErr w:type="gramEnd"/>
    </w:p>
    <w:p w:rsidR="00DC5A74" w:rsidRPr="008751F4" w:rsidRDefault="00880BC1" w:rsidP="005C7A9A">
      <w:pPr>
        <w:ind w:left="720" w:hanging="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Simon A., Karapetrovic S.,</w:t>
      </w:r>
      <w:r w:rsidR="005B619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Casadesús M. (2012b).</w:t>
      </w:r>
      <w:r w:rsidR="00DC5A74" w:rsidRPr="008751F4">
        <w:rPr>
          <w:rFonts w:ascii="Times New Roman" w:hAnsi="Times New Roman" w:cs="Times New Roman"/>
          <w:color w:val="000000"/>
          <w:sz w:val="24"/>
          <w:szCs w:val="24"/>
          <w:lang w:val="en-GB"/>
        </w:rPr>
        <w:t xml:space="preserve"> </w:t>
      </w:r>
      <w:proofErr w:type="gramStart"/>
      <w:r w:rsidR="00DC5A74" w:rsidRPr="008751F4">
        <w:rPr>
          <w:rFonts w:ascii="Times New Roman" w:hAnsi="Times New Roman" w:cs="Times New Roman"/>
          <w:color w:val="000000"/>
          <w:sz w:val="24"/>
          <w:szCs w:val="24"/>
          <w:lang w:val="en-GB"/>
        </w:rPr>
        <w:t>“Difficulties and benefits of</w:t>
      </w:r>
      <w:r>
        <w:rPr>
          <w:rFonts w:ascii="Times New Roman" w:hAnsi="Times New Roman" w:cs="Times New Roman"/>
          <w:color w:val="000000"/>
          <w:sz w:val="24"/>
          <w:szCs w:val="24"/>
          <w:lang w:val="en-GB"/>
        </w:rPr>
        <w:t xml:space="preserve"> integrated management systems”.</w:t>
      </w:r>
      <w:proofErr w:type="gramEnd"/>
      <w:r w:rsidR="00A629E5" w:rsidRPr="008751F4">
        <w:rPr>
          <w:rFonts w:ascii="Times New Roman" w:hAnsi="Times New Roman" w:cs="Times New Roman"/>
          <w:color w:val="000000"/>
          <w:sz w:val="24"/>
          <w:szCs w:val="24"/>
          <w:lang w:val="en-GB"/>
        </w:rPr>
        <w:t xml:space="preserve"> </w:t>
      </w:r>
      <w:r w:rsidR="00DC5A74" w:rsidRPr="008751F4">
        <w:rPr>
          <w:rFonts w:ascii="Times New Roman" w:hAnsi="Times New Roman" w:cs="Times New Roman"/>
          <w:i/>
          <w:color w:val="000000"/>
          <w:sz w:val="24"/>
          <w:szCs w:val="24"/>
          <w:lang w:val="en-GB"/>
        </w:rPr>
        <w:t>Industrial Management &amp; Data Systems</w:t>
      </w:r>
      <w:r>
        <w:rPr>
          <w:rFonts w:ascii="Times New Roman" w:hAnsi="Times New Roman" w:cs="Times New Roman"/>
          <w:color w:val="000000"/>
          <w:sz w:val="24"/>
          <w:szCs w:val="24"/>
          <w:lang w:val="en-GB"/>
        </w:rPr>
        <w:t>, 112(</w:t>
      </w:r>
      <w:r w:rsidR="00DC5A74" w:rsidRPr="008751F4">
        <w:rPr>
          <w:rFonts w:ascii="Times New Roman" w:hAnsi="Times New Roman" w:cs="Times New Roman"/>
          <w:color w:val="000000"/>
          <w:sz w:val="24"/>
          <w:szCs w:val="24"/>
          <w:lang w:val="en-GB"/>
        </w:rPr>
        <w:t>5</w:t>
      </w:r>
      <w:r>
        <w:rPr>
          <w:rFonts w:ascii="Times New Roman" w:hAnsi="Times New Roman" w:cs="Times New Roman"/>
          <w:color w:val="000000"/>
          <w:sz w:val="24"/>
          <w:szCs w:val="24"/>
          <w:lang w:val="en-GB"/>
        </w:rPr>
        <w:t>),</w:t>
      </w:r>
      <w:r w:rsidR="00DC5A74" w:rsidRPr="008751F4">
        <w:rPr>
          <w:rFonts w:ascii="Times New Roman" w:hAnsi="Times New Roman" w:cs="Times New Roman"/>
          <w:color w:val="000000"/>
          <w:sz w:val="24"/>
          <w:szCs w:val="24"/>
          <w:lang w:val="en-GB"/>
        </w:rPr>
        <w:t xml:space="preserve"> 828-846.</w:t>
      </w:r>
    </w:p>
    <w:p w:rsidR="00EB5A3C" w:rsidRPr="008751F4" w:rsidRDefault="00EB5A3C" w:rsidP="005C7A9A">
      <w:pPr>
        <w:tabs>
          <w:tab w:val="left" w:pos="360"/>
        </w:tabs>
        <w:ind w:left="720" w:hanging="270"/>
        <w:jc w:val="both"/>
        <w:rPr>
          <w:rFonts w:ascii="Times New Roman" w:eastAsia="Times New Roman" w:hAnsi="Times New Roman" w:cs="Times New Roman"/>
          <w:sz w:val="24"/>
          <w:szCs w:val="24"/>
          <w:lang w:val="en-GB"/>
        </w:rPr>
      </w:pPr>
      <w:r w:rsidRPr="008751F4">
        <w:rPr>
          <w:rFonts w:ascii="Times New Roman" w:eastAsia="Times New Roman" w:hAnsi="Times New Roman" w:cs="Times New Roman"/>
          <w:sz w:val="24"/>
          <w:szCs w:val="24"/>
          <w:lang w:val="en-GB"/>
        </w:rPr>
        <w:t>Simon A., Bernardo M., Karapetrovic</w:t>
      </w:r>
      <w:r w:rsidR="00880BC1">
        <w:rPr>
          <w:rFonts w:ascii="Times New Roman" w:eastAsia="Times New Roman" w:hAnsi="Times New Roman" w:cs="Times New Roman"/>
          <w:sz w:val="24"/>
          <w:szCs w:val="24"/>
          <w:lang w:val="en-GB"/>
        </w:rPr>
        <w:t xml:space="preserve"> S., Casadesus</w:t>
      </w:r>
      <w:r w:rsidRPr="008751F4">
        <w:rPr>
          <w:rFonts w:ascii="Times New Roman" w:eastAsia="Times New Roman" w:hAnsi="Times New Roman" w:cs="Times New Roman"/>
          <w:sz w:val="24"/>
          <w:szCs w:val="24"/>
          <w:lang w:val="en-GB"/>
        </w:rPr>
        <w:t xml:space="preserve"> M. (</w:t>
      </w:r>
      <w:r w:rsidR="00880BC1">
        <w:rPr>
          <w:rFonts w:ascii="Times New Roman" w:eastAsia="Times New Roman" w:hAnsi="Times New Roman" w:cs="Times New Roman"/>
          <w:sz w:val="24"/>
          <w:szCs w:val="24"/>
          <w:lang w:val="en-GB"/>
        </w:rPr>
        <w:t xml:space="preserve">2011). </w:t>
      </w:r>
      <w:proofErr w:type="gramStart"/>
      <w:r w:rsidRPr="008751F4">
        <w:rPr>
          <w:rFonts w:ascii="Times New Roman" w:eastAsia="Times New Roman" w:hAnsi="Times New Roman" w:cs="Times New Roman"/>
          <w:sz w:val="24"/>
          <w:szCs w:val="24"/>
          <w:lang w:val="en-GB"/>
        </w:rPr>
        <w:t>“Integration of standardized environmental and quality management systems audits”</w:t>
      </w:r>
      <w:r w:rsidR="00880BC1">
        <w:rPr>
          <w:rFonts w:ascii="Times New Roman" w:eastAsia="Times New Roman" w:hAnsi="Times New Roman" w:cs="Times New Roman"/>
          <w:sz w:val="24"/>
          <w:szCs w:val="24"/>
          <w:lang w:val="en-GB"/>
        </w:rPr>
        <w:t>.</w:t>
      </w:r>
      <w:proofErr w:type="gramEnd"/>
      <w:r w:rsidRPr="008751F4">
        <w:rPr>
          <w:rFonts w:ascii="Times New Roman" w:eastAsia="Times New Roman" w:hAnsi="Times New Roman" w:cs="Times New Roman"/>
          <w:sz w:val="24"/>
          <w:szCs w:val="24"/>
          <w:lang w:val="en-GB"/>
        </w:rPr>
        <w:t xml:space="preserve"> </w:t>
      </w:r>
      <w:r w:rsidRPr="008751F4">
        <w:rPr>
          <w:rFonts w:ascii="Times New Roman" w:eastAsia="Times New Roman" w:hAnsi="Times New Roman" w:cs="Times New Roman"/>
          <w:i/>
          <w:iCs/>
          <w:sz w:val="24"/>
          <w:szCs w:val="24"/>
          <w:lang w:val="en-GB"/>
        </w:rPr>
        <w:t>Journal of Cleaner Production</w:t>
      </w:r>
      <w:r w:rsidRPr="008751F4">
        <w:rPr>
          <w:rFonts w:ascii="Times New Roman" w:eastAsia="Times New Roman" w:hAnsi="Times New Roman" w:cs="Times New Roman"/>
          <w:sz w:val="24"/>
          <w:szCs w:val="24"/>
          <w:lang w:val="en-GB"/>
        </w:rPr>
        <w:t>, Vol. 19, pp. 2057-2065.</w:t>
      </w:r>
    </w:p>
    <w:p w:rsidR="007573EC" w:rsidRPr="008751F4" w:rsidRDefault="00880BC1" w:rsidP="005C7A9A">
      <w:pPr>
        <w:tabs>
          <w:tab w:val="left" w:pos="360"/>
        </w:tabs>
        <w:ind w:left="720" w:hanging="27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Simon A., Yaya L.H.P., Karapetrovic S., </w:t>
      </w:r>
      <w:r w:rsidR="007573EC" w:rsidRPr="008751F4">
        <w:rPr>
          <w:rFonts w:ascii="Times New Roman" w:eastAsia="Times New Roman" w:hAnsi="Times New Roman" w:cs="Times New Roman"/>
          <w:sz w:val="24"/>
          <w:szCs w:val="24"/>
          <w:lang w:val="en-GB"/>
        </w:rPr>
        <w:t xml:space="preserve">Casadesús M. (2014). </w:t>
      </w:r>
      <w:proofErr w:type="gramStart"/>
      <w:r w:rsidR="007573EC" w:rsidRPr="008751F4">
        <w:rPr>
          <w:rFonts w:ascii="Times New Roman" w:eastAsia="Times New Roman" w:hAnsi="Times New Roman" w:cs="Times New Roman"/>
          <w:sz w:val="24"/>
          <w:szCs w:val="24"/>
          <w:lang w:val="en-GB"/>
        </w:rPr>
        <w:t xml:space="preserve">“An empirical analysis of the integration of internal and external management system audits”, </w:t>
      </w:r>
      <w:r w:rsidR="007573EC" w:rsidRPr="008751F4">
        <w:rPr>
          <w:rFonts w:ascii="Times New Roman" w:eastAsia="Times New Roman" w:hAnsi="Times New Roman" w:cs="Times New Roman"/>
          <w:i/>
          <w:sz w:val="24"/>
          <w:szCs w:val="24"/>
          <w:lang w:val="en-GB"/>
        </w:rPr>
        <w:t>Journal of Cleaner Production</w:t>
      </w:r>
      <w:r w:rsidR="007573EC" w:rsidRPr="008751F4">
        <w:rPr>
          <w:rFonts w:ascii="Times New Roman" w:eastAsia="Times New Roman" w:hAnsi="Times New Roman" w:cs="Times New Roman"/>
          <w:sz w:val="24"/>
          <w:szCs w:val="24"/>
          <w:lang w:val="en-GB"/>
        </w:rPr>
        <w:t>, 66, 499-506.</w:t>
      </w:r>
      <w:proofErr w:type="gramEnd"/>
    </w:p>
    <w:p w:rsidR="00964544" w:rsidRPr="008751F4" w:rsidRDefault="00880BC1" w:rsidP="005C7A9A">
      <w:pPr>
        <w:tabs>
          <w:tab w:val="left" w:pos="360"/>
          <w:tab w:val="left" w:pos="709"/>
        </w:tabs>
        <w:ind w:left="720" w:hanging="270"/>
        <w:jc w:val="both"/>
        <w:rPr>
          <w:rFonts w:ascii="Times New Roman" w:hAnsi="Times New Roman" w:cs="Times New Roman"/>
          <w:color w:val="000000" w:themeColor="text1"/>
          <w:spacing w:val="4"/>
          <w:sz w:val="24"/>
          <w:szCs w:val="24"/>
          <w:shd w:val="clear" w:color="auto" w:fill="FFFFFF"/>
          <w:lang w:val="en-US"/>
        </w:rPr>
      </w:pPr>
      <w:r>
        <w:rPr>
          <w:rFonts w:ascii="Times New Roman" w:hAnsi="Times New Roman" w:cs="Times New Roman"/>
          <w:color w:val="000000" w:themeColor="text1"/>
          <w:spacing w:val="4"/>
          <w:sz w:val="24"/>
          <w:szCs w:val="24"/>
          <w:shd w:val="clear" w:color="auto" w:fill="FFFFFF"/>
          <w:lang w:val="en-US"/>
        </w:rPr>
        <w:t>Simon A.,</w:t>
      </w:r>
      <w:r w:rsidR="00964544" w:rsidRPr="008751F4">
        <w:rPr>
          <w:rFonts w:ascii="Times New Roman" w:hAnsi="Times New Roman" w:cs="Times New Roman"/>
          <w:color w:val="000000" w:themeColor="text1"/>
          <w:spacing w:val="4"/>
          <w:sz w:val="24"/>
          <w:szCs w:val="24"/>
          <w:shd w:val="clear" w:color="auto" w:fill="FFFFFF"/>
          <w:lang w:val="en-US"/>
        </w:rPr>
        <w:t xml:space="preserve"> Douglas, A. (2013).</w:t>
      </w:r>
      <w:r w:rsidRPr="00496F78">
        <w:rPr>
          <w:rFonts w:ascii="Times New Roman" w:hAnsi="Times New Roman" w:cs="Times New Roman"/>
          <w:sz w:val="24"/>
          <w:szCs w:val="24"/>
          <w:lang w:val="en-US"/>
        </w:rPr>
        <w:t xml:space="preserve"> </w:t>
      </w:r>
      <w:r w:rsidRPr="008751F4">
        <w:rPr>
          <w:rFonts w:ascii="Times New Roman" w:hAnsi="Times New Roman" w:cs="Times New Roman"/>
          <w:sz w:val="24"/>
          <w:szCs w:val="24"/>
          <w:lang w:val="en-US"/>
        </w:rPr>
        <w:t>“</w:t>
      </w:r>
      <w:r w:rsidR="00964544" w:rsidRPr="008751F4">
        <w:rPr>
          <w:rFonts w:ascii="Times New Roman" w:hAnsi="Times New Roman" w:cs="Times New Roman"/>
          <w:color w:val="000000" w:themeColor="text1"/>
          <w:spacing w:val="4"/>
          <w:sz w:val="24"/>
          <w:szCs w:val="24"/>
          <w:shd w:val="clear" w:color="auto" w:fill="FFFFFF"/>
          <w:lang w:val="en-US"/>
        </w:rPr>
        <w:t>Integrating management systems: does the location matter?</w:t>
      </w:r>
      <w:proofErr w:type="gramStart"/>
      <w:r>
        <w:rPr>
          <w:rFonts w:ascii="Times New Roman" w:hAnsi="Times New Roman" w:cs="Times New Roman"/>
          <w:sz w:val="24"/>
          <w:szCs w:val="24"/>
          <w:lang w:val="en-GB"/>
        </w:rPr>
        <w:t>”.</w:t>
      </w:r>
      <w:proofErr w:type="gramEnd"/>
      <w:r w:rsidR="00964544" w:rsidRPr="008751F4">
        <w:rPr>
          <w:rFonts w:ascii="Times New Roman" w:hAnsi="Times New Roman" w:cs="Times New Roman"/>
          <w:i/>
          <w:color w:val="000000" w:themeColor="text1"/>
          <w:spacing w:val="4"/>
          <w:sz w:val="24"/>
          <w:szCs w:val="24"/>
          <w:shd w:val="clear" w:color="auto" w:fill="FFFFFF"/>
          <w:lang w:val="en-US"/>
        </w:rPr>
        <w:t xml:space="preserve"> </w:t>
      </w:r>
      <w:r w:rsidR="00964544" w:rsidRPr="008751F4">
        <w:rPr>
          <w:rFonts w:ascii="Times New Roman" w:hAnsi="Times New Roman" w:cs="Times New Roman"/>
          <w:i/>
          <w:color w:val="000000" w:themeColor="text1"/>
          <w:sz w:val="24"/>
          <w:szCs w:val="24"/>
          <w:lang w:val="en-US"/>
        </w:rPr>
        <w:t>International Journal of Quality &amp; Reliability Management</w:t>
      </w:r>
      <w:r w:rsidR="00964544" w:rsidRPr="008751F4">
        <w:rPr>
          <w:rFonts w:ascii="Times New Roman" w:hAnsi="Times New Roman" w:cs="Times New Roman"/>
          <w:color w:val="000000" w:themeColor="text1"/>
          <w:spacing w:val="4"/>
          <w:sz w:val="24"/>
          <w:szCs w:val="24"/>
          <w:shd w:val="clear" w:color="auto" w:fill="FFFFFF"/>
          <w:lang w:val="en-US"/>
        </w:rPr>
        <w:t>, 30(6), 675-689.</w:t>
      </w:r>
    </w:p>
    <w:p w:rsidR="00964544" w:rsidRPr="00496F78" w:rsidRDefault="00880BC1" w:rsidP="005C7A9A">
      <w:pPr>
        <w:tabs>
          <w:tab w:val="left" w:pos="360"/>
          <w:tab w:val="left" w:pos="709"/>
        </w:tabs>
        <w:ind w:left="720" w:hanging="270"/>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Singh V., Kumar</w:t>
      </w:r>
      <w:r w:rsidR="00964544" w:rsidRPr="00496F78">
        <w:rPr>
          <w:rFonts w:ascii="Times New Roman" w:hAnsi="Times New Roman" w:cs="Times New Roman"/>
          <w:sz w:val="24"/>
          <w:szCs w:val="24"/>
          <w:lang w:val="en-US"/>
        </w:rPr>
        <w:t xml:space="preserve"> A.</w:t>
      </w:r>
      <w:r w:rsidRPr="00496F78">
        <w:rPr>
          <w:rFonts w:ascii="Times New Roman" w:hAnsi="Times New Roman" w:cs="Times New Roman"/>
          <w:sz w:val="24"/>
          <w:szCs w:val="24"/>
          <w:lang w:val="en-US"/>
        </w:rPr>
        <w:t>, Singh</w:t>
      </w:r>
      <w:r w:rsidR="00964544" w:rsidRPr="00496F78">
        <w:rPr>
          <w:rFonts w:ascii="Times New Roman" w:hAnsi="Times New Roman" w:cs="Times New Roman"/>
          <w:sz w:val="24"/>
          <w:szCs w:val="24"/>
          <w:lang w:val="en-US"/>
        </w:rPr>
        <w:t xml:space="preserve"> T. (2018). </w:t>
      </w:r>
      <w:r w:rsidRPr="008751F4">
        <w:rPr>
          <w:rFonts w:ascii="Times New Roman" w:hAnsi="Times New Roman" w:cs="Times New Roman"/>
          <w:sz w:val="24"/>
          <w:szCs w:val="24"/>
          <w:lang w:val="en-US"/>
        </w:rPr>
        <w:t>“</w:t>
      </w:r>
      <w:r w:rsidR="00964544" w:rsidRPr="00496F78">
        <w:rPr>
          <w:rFonts w:ascii="Times New Roman" w:hAnsi="Times New Roman" w:cs="Times New Roman"/>
          <w:sz w:val="24"/>
          <w:szCs w:val="24"/>
          <w:lang w:val="en-US"/>
        </w:rPr>
        <w:t>Impact of TQM on organisational performance: The case of Indian manufacturing and service industry</w:t>
      </w:r>
      <w:r>
        <w:rPr>
          <w:rFonts w:ascii="Times New Roman" w:hAnsi="Times New Roman" w:cs="Times New Roman"/>
          <w:sz w:val="24"/>
          <w:szCs w:val="24"/>
          <w:lang w:val="en-GB"/>
        </w:rPr>
        <w:t>”.</w:t>
      </w:r>
      <w:r w:rsidR="00964544" w:rsidRPr="00496F78">
        <w:rPr>
          <w:rFonts w:ascii="Times New Roman" w:hAnsi="Times New Roman" w:cs="Times New Roman"/>
          <w:i/>
          <w:sz w:val="24"/>
          <w:szCs w:val="24"/>
          <w:lang w:val="en-US"/>
        </w:rPr>
        <w:t xml:space="preserve"> Operations Research Perspectives</w:t>
      </w:r>
      <w:r w:rsidR="00964544" w:rsidRPr="00496F78">
        <w:rPr>
          <w:rFonts w:ascii="Times New Roman" w:hAnsi="Times New Roman" w:cs="Times New Roman"/>
          <w:sz w:val="24"/>
          <w:szCs w:val="24"/>
          <w:lang w:val="en-US"/>
        </w:rPr>
        <w:t>, 5, 199-217.</w:t>
      </w:r>
    </w:p>
    <w:p w:rsidR="00964544" w:rsidRPr="008751F4" w:rsidRDefault="00880BC1" w:rsidP="005C7A9A">
      <w:pPr>
        <w:tabs>
          <w:tab w:val="left" w:pos="360"/>
          <w:tab w:val="left" w:pos="1080"/>
        </w:tabs>
        <w:ind w:left="720" w:hanging="27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Sousa R.,</w:t>
      </w:r>
      <w:r w:rsidR="00964544" w:rsidRPr="008751F4">
        <w:rPr>
          <w:rFonts w:ascii="Times New Roman" w:hAnsi="Times New Roman" w:cs="Times New Roman"/>
          <w:sz w:val="24"/>
          <w:szCs w:val="24"/>
          <w:lang w:val="en-US"/>
        </w:rPr>
        <w:t xml:space="preserve"> Voss, C.A. (2008).</w:t>
      </w:r>
      <w:proofErr w:type="gramEnd"/>
      <w:r w:rsidR="00964544" w:rsidRPr="008751F4">
        <w:rPr>
          <w:rFonts w:ascii="Times New Roman" w:hAnsi="Times New Roman" w:cs="Times New Roman"/>
          <w:sz w:val="24"/>
          <w:szCs w:val="24"/>
          <w:lang w:val="en-US"/>
        </w:rPr>
        <w:t xml:space="preserve"> </w:t>
      </w:r>
      <w:r w:rsidRPr="008751F4">
        <w:rPr>
          <w:rFonts w:ascii="Times New Roman" w:hAnsi="Times New Roman" w:cs="Times New Roman"/>
          <w:sz w:val="24"/>
          <w:szCs w:val="24"/>
          <w:lang w:val="en-US"/>
        </w:rPr>
        <w:t>“</w:t>
      </w:r>
      <w:r w:rsidR="00964544" w:rsidRPr="008751F4">
        <w:rPr>
          <w:rFonts w:ascii="Times New Roman" w:hAnsi="Times New Roman" w:cs="Times New Roman"/>
          <w:sz w:val="24"/>
          <w:szCs w:val="24"/>
          <w:lang w:val="en-US"/>
        </w:rPr>
        <w:t>Contingency research in operations management practices</w:t>
      </w:r>
      <w:r>
        <w:rPr>
          <w:rFonts w:ascii="Times New Roman" w:hAnsi="Times New Roman" w:cs="Times New Roman"/>
          <w:sz w:val="24"/>
          <w:szCs w:val="24"/>
          <w:lang w:val="en-GB"/>
        </w:rPr>
        <w:t>”.</w:t>
      </w:r>
      <w:r w:rsidR="00964544" w:rsidRPr="008751F4">
        <w:rPr>
          <w:rFonts w:ascii="Times New Roman" w:hAnsi="Times New Roman" w:cs="Times New Roman"/>
          <w:i/>
          <w:sz w:val="24"/>
          <w:szCs w:val="24"/>
          <w:lang w:val="en-US"/>
        </w:rPr>
        <w:t xml:space="preserve"> Journal of Operations Management, </w:t>
      </w:r>
      <w:r w:rsidR="00964544" w:rsidRPr="008751F4">
        <w:rPr>
          <w:rFonts w:ascii="Times New Roman" w:hAnsi="Times New Roman" w:cs="Times New Roman"/>
          <w:sz w:val="24"/>
          <w:szCs w:val="24"/>
          <w:lang w:val="en-US"/>
        </w:rPr>
        <w:t>26(6), 697-713.</w:t>
      </w:r>
    </w:p>
    <w:p w:rsidR="00011F19" w:rsidRPr="00496F78" w:rsidRDefault="00880BC1" w:rsidP="005C7A9A">
      <w:pPr>
        <w:tabs>
          <w:tab w:val="left" w:pos="1080"/>
        </w:tabs>
        <w:ind w:left="720" w:hanging="274"/>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Tarí</w:t>
      </w:r>
      <w:r w:rsidR="00011F19" w:rsidRPr="00496F78">
        <w:rPr>
          <w:rFonts w:ascii="Times New Roman" w:hAnsi="Times New Roman" w:cs="Times New Roman"/>
          <w:sz w:val="24"/>
          <w:szCs w:val="24"/>
          <w:lang w:val="en-US"/>
        </w:rPr>
        <w:t xml:space="preserve"> J.J., Heras-Saizarbitor</w:t>
      </w:r>
      <w:r w:rsidRPr="00496F78">
        <w:rPr>
          <w:rFonts w:ascii="Times New Roman" w:hAnsi="Times New Roman" w:cs="Times New Roman"/>
          <w:sz w:val="24"/>
          <w:szCs w:val="24"/>
          <w:lang w:val="en-US"/>
        </w:rPr>
        <w:t xml:space="preserve">ia I., Pereira J. (2013). </w:t>
      </w:r>
      <w:proofErr w:type="gramStart"/>
      <w:r w:rsidRPr="008751F4">
        <w:rPr>
          <w:rFonts w:ascii="Times New Roman" w:hAnsi="Times New Roman" w:cs="Times New Roman"/>
          <w:sz w:val="24"/>
          <w:szCs w:val="24"/>
          <w:lang w:val="en-US"/>
        </w:rPr>
        <w:t>“</w:t>
      </w:r>
      <w:r w:rsidR="00011F19" w:rsidRPr="00496F78">
        <w:rPr>
          <w:rFonts w:ascii="Times New Roman" w:hAnsi="Times New Roman" w:cs="Times New Roman"/>
          <w:sz w:val="24"/>
          <w:szCs w:val="24"/>
          <w:lang w:val="en-US"/>
        </w:rPr>
        <w:t>Internalization of quality management in service organizations</w:t>
      </w:r>
      <w:r>
        <w:rPr>
          <w:rFonts w:ascii="Times New Roman" w:hAnsi="Times New Roman" w:cs="Times New Roman"/>
          <w:sz w:val="24"/>
          <w:szCs w:val="24"/>
          <w:lang w:val="en-GB"/>
        </w:rPr>
        <w:t>”.</w:t>
      </w:r>
      <w:proofErr w:type="gramEnd"/>
      <w:r w:rsidR="00011F19" w:rsidRPr="00496F78">
        <w:rPr>
          <w:rFonts w:ascii="Times New Roman" w:hAnsi="Times New Roman" w:cs="Times New Roman"/>
          <w:sz w:val="24"/>
          <w:szCs w:val="24"/>
          <w:lang w:val="en-US"/>
        </w:rPr>
        <w:t xml:space="preserve"> </w:t>
      </w:r>
      <w:r w:rsidR="00011F19" w:rsidRPr="00496F78">
        <w:rPr>
          <w:rFonts w:ascii="Times New Roman" w:hAnsi="Times New Roman" w:cs="Times New Roman"/>
          <w:i/>
          <w:sz w:val="24"/>
          <w:szCs w:val="24"/>
          <w:lang w:val="en-US"/>
        </w:rPr>
        <w:t>Managing Service Quality</w:t>
      </w:r>
      <w:r w:rsidR="00011F19" w:rsidRPr="00496F78">
        <w:rPr>
          <w:rFonts w:ascii="Times New Roman" w:hAnsi="Times New Roman" w:cs="Times New Roman"/>
          <w:sz w:val="24"/>
          <w:szCs w:val="24"/>
          <w:lang w:val="en-US"/>
        </w:rPr>
        <w:t>, 23(6), 456-473.</w:t>
      </w:r>
    </w:p>
    <w:p w:rsidR="00D05ADE" w:rsidRPr="008751F4" w:rsidRDefault="00880BC1" w:rsidP="005C7A9A">
      <w:pPr>
        <w:tabs>
          <w:tab w:val="left" w:pos="1080"/>
        </w:tabs>
        <w:autoSpaceDE w:val="0"/>
        <w:autoSpaceDN w:val="0"/>
        <w:adjustRightInd w:val="0"/>
        <w:ind w:left="720" w:hanging="27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Testa</w:t>
      </w:r>
      <w:r w:rsidR="00D05ADE" w:rsidRPr="008751F4">
        <w:rPr>
          <w:rFonts w:ascii="Times New Roman" w:hAnsi="Times New Roman" w:cs="Times New Roman"/>
          <w:sz w:val="24"/>
          <w:szCs w:val="24"/>
          <w:lang w:val="en-US"/>
        </w:rPr>
        <w:t xml:space="preserve"> F., Boiral</w:t>
      </w:r>
      <w:r>
        <w:rPr>
          <w:rFonts w:ascii="Times New Roman" w:hAnsi="Times New Roman" w:cs="Times New Roman"/>
          <w:sz w:val="24"/>
          <w:szCs w:val="24"/>
          <w:lang w:val="en-US"/>
        </w:rPr>
        <w:t xml:space="preserve"> O., Iraldo</w:t>
      </w:r>
      <w:r w:rsidR="00D05ADE" w:rsidRPr="008751F4">
        <w:rPr>
          <w:rFonts w:ascii="Times New Roman" w:hAnsi="Times New Roman" w:cs="Times New Roman"/>
          <w:sz w:val="24"/>
          <w:szCs w:val="24"/>
          <w:lang w:val="en-US"/>
        </w:rPr>
        <w:t xml:space="preserve"> F. (2018</w:t>
      </w:r>
      <w:r w:rsidR="00D737F7" w:rsidRPr="008751F4">
        <w:rPr>
          <w:rFonts w:ascii="Times New Roman" w:hAnsi="Times New Roman" w:cs="Times New Roman"/>
          <w:sz w:val="24"/>
          <w:szCs w:val="24"/>
          <w:lang w:val="en-US"/>
        </w:rPr>
        <w:t>a</w:t>
      </w:r>
      <w:r w:rsidR="00D05ADE" w:rsidRPr="008751F4">
        <w:rPr>
          <w:rFonts w:ascii="Times New Roman" w:hAnsi="Times New Roman" w:cs="Times New Roman"/>
          <w:sz w:val="24"/>
          <w:szCs w:val="24"/>
          <w:lang w:val="en-US"/>
        </w:rPr>
        <w:t>).</w:t>
      </w:r>
      <w:proofErr w:type="gramEnd"/>
      <w:r w:rsidR="00D05ADE" w:rsidRPr="008751F4">
        <w:rPr>
          <w:rFonts w:ascii="Times New Roman" w:hAnsi="Times New Roman" w:cs="Times New Roman"/>
          <w:sz w:val="24"/>
          <w:szCs w:val="24"/>
          <w:lang w:val="en-US"/>
        </w:rPr>
        <w:t xml:space="preserve"> “Internalization of Environmental Practices and Institutional Complexity: Can Stakeholders Pre</w:t>
      </w:r>
      <w:r>
        <w:rPr>
          <w:rFonts w:ascii="Times New Roman" w:hAnsi="Times New Roman" w:cs="Times New Roman"/>
          <w:sz w:val="24"/>
          <w:szCs w:val="24"/>
          <w:lang w:val="en-US"/>
        </w:rPr>
        <w:t>ssures Encourage Greenwashing?</w:t>
      </w:r>
      <w:proofErr w:type="gramStart"/>
      <w:r>
        <w:rPr>
          <w:rFonts w:ascii="Times New Roman" w:hAnsi="Times New Roman" w:cs="Times New Roman"/>
          <w:sz w:val="24"/>
          <w:szCs w:val="24"/>
          <w:lang w:val="en-US"/>
        </w:rPr>
        <w:t>”.</w:t>
      </w:r>
      <w:proofErr w:type="gramEnd"/>
      <w:r w:rsidR="00D05ADE" w:rsidRPr="008751F4">
        <w:rPr>
          <w:rFonts w:ascii="Times New Roman" w:hAnsi="Times New Roman" w:cs="Times New Roman"/>
          <w:sz w:val="24"/>
          <w:szCs w:val="24"/>
          <w:lang w:val="en-US"/>
        </w:rPr>
        <w:t xml:space="preserve"> </w:t>
      </w:r>
      <w:r w:rsidR="00D05ADE" w:rsidRPr="00880BC1">
        <w:rPr>
          <w:rFonts w:ascii="Times New Roman" w:hAnsi="Times New Roman" w:cs="Times New Roman"/>
          <w:i/>
          <w:sz w:val="24"/>
          <w:szCs w:val="24"/>
          <w:lang w:val="en-US"/>
        </w:rPr>
        <w:t>Journal of Business Ethics</w:t>
      </w:r>
      <w:r>
        <w:rPr>
          <w:rFonts w:ascii="Times New Roman" w:hAnsi="Times New Roman" w:cs="Times New Roman"/>
          <w:sz w:val="24"/>
          <w:szCs w:val="24"/>
          <w:lang w:val="en-US"/>
        </w:rPr>
        <w:t>, 147(2),</w:t>
      </w:r>
      <w:r w:rsidR="00D05ADE" w:rsidRPr="008751F4">
        <w:rPr>
          <w:rFonts w:ascii="Times New Roman" w:hAnsi="Times New Roman" w:cs="Times New Roman"/>
          <w:sz w:val="24"/>
          <w:szCs w:val="24"/>
          <w:lang w:val="en-US"/>
        </w:rPr>
        <w:t xml:space="preserve"> 287-307.</w:t>
      </w:r>
    </w:p>
    <w:p w:rsidR="00D737F7" w:rsidRPr="008751F4" w:rsidRDefault="00880BC1" w:rsidP="005C7A9A">
      <w:pPr>
        <w:tabs>
          <w:tab w:val="left" w:pos="1080"/>
        </w:tabs>
        <w:ind w:left="720" w:hanging="274"/>
        <w:jc w:val="both"/>
        <w:rPr>
          <w:rFonts w:ascii="Times New Roman" w:hAnsi="Times New Roman" w:cs="Times New Roman"/>
          <w:sz w:val="24"/>
          <w:szCs w:val="24"/>
          <w:lang w:val="en-US"/>
        </w:rPr>
      </w:pPr>
      <w:proofErr w:type="gramStart"/>
      <w:r w:rsidRPr="00496F78">
        <w:rPr>
          <w:rFonts w:ascii="Times New Roman" w:hAnsi="Times New Roman" w:cs="Times New Roman"/>
          <w:color w:val="000000"/>
          <w:sz w:val="24"/>
          <w:szCs w:val="24"/>
          <w:lang w:val="en-US"/>
        </w:rPr>
        <w:t>Testa F., Boiral O., Heras‐Saizarbitoria</w:t>
      </w:r>
      <w:r w:rsidR="00D737F7" w:rsidRPr="00496F78">
        <w:rPr>
          <w:rFonts w:ascii="Times New Roman" w:hAnsi="Times New Roman" w:cs="Times New Roman"/>
          <w:color w:val="000000"/>
          <w:sz w:val="24"/>
          <w:szCs w:val="24"/>
          <w:lang w:val="en-US"/>
        </w:rPr>
        <w:t xml:space="preserve"> I. </w:t>
      </w:r>
      <w:r>
        <w:rPr>
          <w:rFonts w:ascii="Times New Roman" w:hAnsi="Times New Roman" w:cs="Times New Roman"/>
          <w:sz w:val="24"/>
          <w:szCs w:val="24"/>
          <w:lang w:val="en-US"/>
        </w:rPr>
        <w:t>(2018b).</w:t>
      </w:r>
      <w:proofErr w:type="gramEnd"/>
      <w:r w:rsidR="00D737F7" w:rsidRPr="008751F4">
        <w:rPr>
          <w:rFonts w:ascii="Times New Roman" w:hAnsi="Times New Roman" w:cs="Times New Roman"/>
          <w:sz w:val="24"/>
          <w:szCs w:val="24"/>
          <w:lang w:val="en-US"/>
        </w:rPr>
        <w:t xml:space="preserve"> </w:t>
      </w:r>
      <w:proofErr w:type="gramStart"/>
      <w:r w:rsidR="00D737F7" w:rsidRPr="008751F4">
        <w:rPr>
          <w:rFonts w:ascii="Times New Roman" w:hAnsi="Times New Roman" w:cs="Times New Roman"/>
          <w:sz w:val="24"/>
          <w:szCs w:val="24"/>
          <w:lang w:val="en-US"/>
        </w:rPr>
        <w:t>“</w:t>
      </w:r>
      <w:r w:rsidR="00D737F7" w:rsidRPr="00496F78">
        <w:rPr>
          <w:rFonts w:ascii="Times New Roman" w:hAnsi="Times New Roman" w:cs="Times New Roman"/>
          <w:color w:val="000000"/>
          <w:sz w:val="24"/>
          <w:szCs w:val="24"/>
          <w:lang w:val="en-US"/>
        </w:rPr>
        <w:t>Improving CSR performance by hard and soft means: The role of organizational citizenship behaviours and the internalization of CSR standards</w:t>
      </w:r>
      <w:r>
        <w:rPr>
          <w:rFonts w:ascii="Times New Roman" w:hAnsi="Times New Roman" w:cs="Times New Roman"/>
          <w:sz w:val="24"/>
          <w:szCs w:val="24"/>
          <w:lang w:val="en-GB"/>
        </w:rPr>
        <w:t>”.</w:t>
      </w:r>
      <w:proofErr w:type="gramEnd"/>
      <w:r w:rsidR="00D737F7" w:rsidRPr="00496F78">
        <w:rPr>
          <w:rFonts w:ascii="Times New Roman" w:hAnsi="Times New Roman" w:cs="Times New Roman"/>
          <w:color w:val="000000"/>
          <w:sz w:val="24"/>
          <w:szCs w:val="24"/>
          <w:lang w:val="en-US"/>
        </w:rPr>
        <w:t xml:space="preserve"> </w:t>
      </w:r>
      <w:r w:rsidR="00D737F7" w:rsidRPr="00496F78">
        <w:rPr>
          <w:rFonts w:ascii="Times New Roman" w:hAnsi="Times New Roman" w:cs="Times New Roman"/>
          <w:i/>
          <w:color w:val="000000"/>
          <w:sz w:val="24"/>
          <w:szCs w:val="24"/>
          <w:lang w:val="en-US"/>
        </w:rPr>
        <w:t>Corporate Social Responsibility and Environmental Management</w:t>
      </w:r>
      <w:r w:rsidR="00D737F7" w:rsidRPr="00496F78">
        <w:rPr>
          <w:rFonts w:ascii="Times New Roman" w:hAnsi="Times New Roman" w:cs="Times New Roman"/>
          <w:color w:val="000000"/>
          <w:sz w:val="24"/>
          <w:szCs w:val="24"/>
          <w:lang w:val="en-US"/>
        </w:rPr>
        <w:t>, 25(5), 853–865.</w:t>
      </w:r>
    </w:p>
    <w:p w:rsidR="00DC5A74" w:rsidRPr="008751F4" w:rsidRDefault="00DC5A74" w:rsidP="005C7A9A">
      <w:pPr>
        <w:ind w:left="720" w:hanging="270"/>
        <w:jc w:val="both"/>
        <w:rPr>
          <w:rFonts w:ascii="Times New Roman" w:hAnsi="Times New Roman" w:cs="Times New Roman"/>
          <w:sz w:val="24"/>
          <w:szCs w:val="24"/>
          <w:lang w:val="en-GB"/>
        </w:rPr>
      </w:pPr>
      <w:proofErr w:type="gramStart"/>
      <w:r w:rsidRPr="008751F4">
        <w:rPr>
          <w:rFonts w:ascii="Times New Roman" w:hAnsi="Times New Roman" w:cs="Times New Roman"/>
          <w:sz w:val="24"/>
          <w:szCs w:val="24"/>
          <w:lang w:val="en-GB"/>
        </w:rPr>
        <w:t>Wagner</w:t>
      </w:r>
      <w:r w:rsidR="00880BC1">
        <w:rPr>
          <w:rFonts w:ascii="Times New Roman" w:hAnsi="Times New Roman" w:cs="Times New Roman"/>
          <w:sz w:val="24"/>
          <w:szCs w:val="24"/>
          <w:lang w:val="en-GB"/>
        </w:rPr>
        <w:t xml:space="preserve"> M. (2015).</w:t>
      </w:r>
      <w:proofErr w:type="gramEnd"/>
      <w:r w:rsidRPr="008751F4">
        <w:rPr>
          <w:rFonts w:ascii="Times New Roman" w:hAnsi="Times New Roman" w:cs="Times New Roman"/>
          <w:sz w:val="24"/>
          <w:szCs w:val="24"/>
          <w:lang w:val="en-GB"/>
        </w:rPr>
        <w:t xml:space="preserve"> “The link of environmental and economic performance: Drivers and limitations</w:t>
      </w:r>
      <w:r w:rsidR="00880BC1">
        <w:rPr>
          <w:rFonts w:ascii="Times New Roman" w:hAnsi="Times New Roman" w:cs="Times New Roman"/>
          <w:sz w:val="24"/>
          <w:szCs w:val="24"/>
          <w:lang w:val="en-GB"/>
        </w:rPr>
        <w:t xml:space="preserve"> of sustainability integration”.</w:t>
      </w:r>
      <w:r w:rsidR="005B619F">
        <w:rPr>
          <w:rFonts w:ascii="Times New Roman" w:hAnsi="Times New Roman" w:cs="Times New Roman"/>
          <w:sz w:val="24"/>
          <w:szCs w:val="24"/>
          <w:lang w:val="en-GB"/>
        </w:rPr>
        <w:t xml:space="preserve"> </w:t>
      </w:r>
      <w:r w:rsidRPr="008751F4">
        <w:rPr>
          <w:rFonts w:ascii="Times New Roman" w:hAnsi="Times New Roman" w:cs="Times New Roman"/>
          <w:i/>
          <w:sz w:val="24"/>
          <w:szCs w:val="24"/>
          <w:lang w:val="en-GB"/>
        </w:rPr>
        <w:t>Journal of Business Research</w:t>
      </w:r>
      <w:r w:rsidRPr="008751F4">
        <w:rPr>
          <w:rFonts w:ascii="Times New Roman" w:hAnsi="Times New Roman" w:cs="Times New Roman"/>
          <w:sz w:val="24"/>
          <w:szCs w:val="24"/>
          <w:lang w:val="en-GB"/>
        </w:rPr>
        <w:t>, 68, 1306-1317.</w:t>
      </w:r>
    </w:p>
    <w:p w:rsidR="00DC5A74" w:rsidRDefault="00DC5A74" w:rsidP="005C7A9A">
      <w:pPr>
        <w:ind w:left="720" w:hanging="270"/>
        <w:jc w:val="both"/>
        <w:rPr>
          <w:rFonts w:ascii="Times New Roman" w:hAnsi="Times New Roman" w:cs="Times New Roman"/>
          <w:color w:val="000000" w:themeColor="text1"/>
          <w:sz w:val="24"/>
          <w:szCs w:val="24"/>
          <w:lang w:val="en-GB"/>
        </w:rPr>
      </w:pPr>
      <w:proofErr w:type="gramStart"/>
      <w:r w:rsidRPr="008751F4">
        <w:rPr>
          <w:rFonts w:ascii="Times New Roman" w:hAnsi="Times New Roman" w:cs="Times New Roman"/>
          <w:sz w:val="24"/>
          <w:szCs w:val="24"/>
          <w:lang w:val="en-GB"/>
        </w:rPr>
        <w:t>Wagner</w:t>
      </w:r>
      <w:r w:rsidR="00880BC1">
        <w:rPr>
          <w:rFonts w:ascii="Times New Roman" w:hAnsi="Times New Roman" w:cs="Times New Roman"/>
          <w:sz w:val="24"/>
          <w:szCs w:val="24"/>
          <w:lang w:val="en-GB"/>
        </w:rPr>
        <w:t xml:space="preserve"> M. (2011).</w:t>
      </w:r>
      <w:proofErr w:type="gramEnd"/>
      <w:r w:rsidRPr="008751F4">
        <w:rPr>
          <w:rFonts w:ascii="Times New Roman" w:hAnsi="Times New Roman" w:cs="Times New Roman"/>
          <w:sz w:val="24"/>
          <w:szCs w:val="24"/>
          <w:lang w:val="en-GB"/>
        </w:rPr>
        <w:t xml:space="preserve"> “Corporate performance implications of extended stakeholder management: </w:t>
      </w:r>
      <w:r w:rsidRPr="008751F4">
        <w:rPr>
          <w:rFonts w:ascii="Times New Roman" w:hAnsi="Times New Roman" w:cs="Times New Roman"/>
          <w:color w:val="000000" w:themeColor="text1"/>
          <w:sz w:val="24"/>
          <w:szCs w:val="24"/>
          <w:lang w:val="en-GB"/>
        </w:rPr>
        <w:t>New insights on me</w:t>
      </w:r>
      <w:r w:rsidR="00880BC1">
        <w:rPr>
          <w:rFonts w:ascii="Times New Roman" w:hAnsi="Times New Roman" w:cs="Times New Roman"/>
          <w:color w:val="000000" w:themeColor="text1"/>
          <w:sz w:val="24"/>
          <w:szCs w:val="24"/>
          <w:lang w:val="en-GB"/>
        </w:rPr>
        <w:t>diation and moderation effects”.</w:t>
      </w:r>
      <w:r w:rsidR="005C3891" w:rsidRPr="008751F4">
        <w:rPr>
          <w:rFonts w:ascii="Times New Roman" w:hAnsi="Times New Roman" w:cs="Times New Roman"/>
          <w:color w:val="000000" w:themeColor="text1"/>
          <w:sz w:val="24"/>
          <w:szCs w:val="24"/>
          <w:lang w:val="en-GB"/>
        </w:rPr>
        <w:t xml:space="preserve"> </w:t>
      </w:r>
      <w:r w:rsidRPr="008751F4">
        <w:rPr>
          <w:rFonts w:ascii="Times New Roman" w:hAnsi="Times New Roman" w:cs="Times New Roman"/>
          <w:i/>
          <w:color w:val="000000" w:themeColor="text1"/>
          <w:sz w:val="24"/>
          <w:szCs w:val="24"/>
          <w:lang w:val="en-GB"/>
        </w:rPr>
        <w:t>Ecological Economics</w:t>
      </w:r>
      <w:r w:rsidRPr="008751F4">
        <w:rPr>
          <w:rFonts w:ascii="Times New Roman" w:hAnsi="Times New Roman" w:cs="Times New Roman"/>
          <w:color w:val="000000" w:themeColor="text1"/>
          <w:sz w:val="24"/>
          <w:szCs w:val="24"/>
          <w:lang w:val="en-GB"/>
        </w:rPr>
        <w:t>, 70</w:t>
      </w:r>
      <w:r w:rsidR="005C3891" w:rsidRPr="008751F4">
        <w:rPr>
          <w:rFonts w:ascii="Times New Roman" w:hAnsi="Times New Roman" w:cs="Times New Roman"/>
          <w:color w:val="000000" w:themeColor="text1"/>
          <w:sz w:val="24"/>
          <w:szCs w:val="24"/>
          <w:lang w:val="en-GB"/>
        </w:rPr>
        <w:t>(</w:t>
      </w:r>
      <w:r w:rsidRPr="008751F4">
        <w:rPr>
          <w:rFonts w:ascii="Times New Roman" w:hAnsi="Times New Roman" w:cs="Times New Roman"/>
          <w:color w:val="000000" w:themeColor="text1"/>
          <w:sz w:val="24"/>
          <w:szCs w:val="24"/>
          <w:lang w:val="en-GB"/>
        </w:rPr>
        <w:t>5</w:t>
      </w:r>
      <w:r w:rsidR="005C3891" w:rsidRPr="008751F4">
        <w:rPr>
          <w:rFonts w:ascii="Times New Roman" w:hAnsi="Times New Roman" w:cs="Times New Roman"/>
          <w:color w:val="000000" w:themeColor="text1"/>
          <w:sz w:val="24"/>
          <w:szCs w:val="24"/>
          <w:lang w:val="en-GB"/>
        </w:rPr>
        <w:t>)</w:t>
      </w:r>
      <w:r w:rsidRPr="008751F4">
        <w:rPr>
          <w:rFonts w:ascii="Times New Roman" w:hAnsi="Times New Roman" w:cs="Times New Roman"/>
          <w:color w:val="000000" w:themeColor="text1"/>
          <w:sz w:val="24"/>
          <w:szCs w:val="24"/>
          <w:lang w:val="en-GB"/>
        </w:rPr>
        <w:t>, 942-950.</w:t>
      </w:r>
    </w:p>
    <w:p w:rsidR="002F0EC7" w:rsidRPr="00496F78" w:rsidRDefault="002F0EC7" w:rsidP="005C7A9A">
      <w:pPr>
        <w:ind w:left="720" w:hanging="270"/>
        <w:jc w:val="both"/>
        <w:rPr>
          <w:rFonts w:ascii="Times New Roman" w:hAnsi="Times New Roman" w:cs="Times New Roman"/>
          <w:sz w:val="24"/>
          <w:szCs w:val="24"/>
          <w:lang w:val="en-US"/>
        </w:rPr>
      </w:pPr>
      <w:r w:rsidRPr="00496F78">
        <w:rPr>
          <w:rFonts w:ascii="Times New Roman" w:hAnsi="Times New Roman" w:cs="Times New Roman"/>
          <w:sz w:val="24"/>
          <w:szCs w:val="24"/>
          <w:lang w:val="en-US"/>
        </w:rPr>
        <w:t>Will M., Brauweiler J., Zenker-Hoffmann A., Delakowitz B. (2019)</w:t>
      </w:r>
      <w:r w:rsidR="00C1414A" w:rsidRPr="00496F78">
        <w:rPr>
          <w:rFonts w:ascii="Times New Roman" w:hAnsi="Times New Roman" w:cs="Times New Roman"/>
          <w:sz w:val="24"/>
          <w:szCs w:val="24"/>
          <w:lang w:val="en-US"/>
        </w:rPr>
        <w:t>.</w:t>
      </w:r>
      <w:r w:rsidRPr="00496F78">
        <w:rPr>
          <w:rFonts w:ascii="Times New Roman" w:hAnsi="Times New Roman" w:cs="Times New Roman"/>
          <w:sz w:val="24"/>
          <w:szCs w:val="24"/>
          <w:lang w:val="en-US"/>
        </w:rPr>
        <w:t xml:space="preserve"> </w:t>
      </w:r>
      <w:proofErr w:type="gramStart"/>
      <w:r w:rsidRPr="008751F4">
        <w:rPr>
          <w:rFonts w:ascii="Times New Roman" w:hAnsi="Times New Roman" w:cs="Times New Roman"/>
          <w:sz w:val="24"/>
          <w:szCs w:val="24"/>
          <w:lang w:val="en-US"/>
        </w:rPr>
        <w:t>“</w:t>
      </w:r>
      <w:proofErr w:type="gramEnd"/>
      <w:r w:rsidRPr="00496F78">
        <w:rPr>
          <w:rFonts w:ascii="Times New Roman" w:hAnsi="Times New Roman" w:cs="Times New Roman"/>
          <w:sz w:val="24"/>
          <w:szCs w:val="24"/>
          <w:lang w:val="en-US"/>
        </w:rPr>
        <w:t>An Inquiry to Consider CSR in Integrated Management Systems</w:t>
      </w:r>
      <w:proofErr w:type="gramStart"/>
      <w:r>
        <w:rPr>
          <w:rFonts w:ascii="Times New Roman" w:eastAsia="Times New Roman" w:hAnsi="Times New Roman" w:cs="Times New Roman"/>
          <w:sz w:val="24"/>
          <w:szCs w:val="24"/>
          <w:lang w:val="en-GB"/>
        </w:rPr>
        <w:t>”.</w:t>
      </w:r>
      <w:proofErr w:type="gramEnd"/>
      <w:r w:rsidRPr="00496F78">
        <w:rPr>
          <w:rFonts w:ascii="Times New Roman" w:hAnsi="Times New Roman" w:cs="Times New Roman"/>
          <w:sz w:val="24"/>
          <w:szCs w:val="24"/>
          <w:lang w:val="en-US"/>
        </w:rPr>
        <w:t xml:space="preserve"> In: Leal Filho W. (</w:t>
      </w:r>
      <w:proofErr w:type="gramStart"/>
      <w:r w:rsidRPr="00496F78">
        <w:rPr>
          <w:rFonts w:ascii="Times New Roman" w:hAnsi="Times New Roman" w:cs="Times New Roman"/>
          <w:sz w:val="24"/>
          <w:szCs w:val="24"/>
          <w:lang w:val="en-US"/>
        </w:rPr>
        <w:t>eds</w:t>
      </w:r>
      <w:proofErr w:type="gramEnd"/>
      <w:r w:rsidRPr="00496F78">
        <w:rPr>
          <w:rFonts w:ascii="Times New Roman" w:hAnsi="Times New Roman" w:cs="Times New Roman"/>
          <w:sz w:val="24"/>
          <w:szCs w:val="24"/>
          <w:lang w:val="en-US"/>
        </w:rPr>
        <w:t xml:space="preserve">) </w:t>
      </w:r>
      <w:r w:rsidRPr="00496F78">
        <w:rPr>
          <w:rFonts w:ascii="Times New Roman" w:hAnsi="Times New Roman" w:cs="Times New Roman"/>
          <w:i/>
          <w:sz w:val="24"/>
          <w:szCs w:val="24"/>
          <w:lang w:val="en-US"/>
        </w:rPr>
        <w:t>Social Responsibility and Sustainability</w:t>
      </w:r>
      <w:r w:rsidRPr="00496F78">
        <w:rPr>
          <w:rFonts w:ascii="Times New Roman" w:hAnsi="Times New Roman" w:cs="Times New Roman"/>
          <w:sz w:val="24"/>
          <w:szCs w:val="24"/>
          <w:lang w:val="en-US"/>
        </w:rPr>
        <w:t>. World Sustainability Series. Springer, Cham</w:t>
      </w:r>
      <w:r w:rsidR="00C1414A" w:rsidRPr="00496F78">
        <w:rPr>
          <w:rFonts w:ascii="Times New Roman" w:hAnsi="Times New Roman" w:cs="Times New Roman"/>
          <w:sz w:val="24"/>
          <w:szCs w:val="24"/>
          <w:lang w:val="en-US"/>
        </w:rPr>
        <w:t>.</w:t>
      </w:r>
    </w:p>
    <w:p w:rsidR="00CF30B3" w:rsidRDefault="00C1414A" w:rsidP="00A1221B">
      <w:pPr>
        <w:autoSpaceDE w:val="0"/>
        <w:autoSpaceDN w:val="0"/>
        <w:adjustRightInd w:val="0"/>
        <w:ind w:left="720" w:hanging="270"/>
        <w:jc w:val="both"/>
        <w:rPr>
          <w:rFonts w:ascii="Times New Roman" w:hAnsi="Times New Roman" w:cs="Times New Roman"/>
          <w:b/>
          <w:sz w:val="24"/>
          <w:szCs w:val="24"/>
          <w:lang w:val="en-US"/>
        </w:rPr>
      </w:pPr>
      <w:r>
        <w:rPr>
          <w:rFonts w:ascii="Times New Roman" w:hAnsi="Times New Roman" w:cs="Times New Roman"/>
          <w:sz w:val="24"/>
          <w:szCs w:val="24"/>
          <w:lang w:val="en-US"/>
        </w:rPr>
        <w:t>Yan</w:t>
      </w:r>
      <w:r w:rsidR="00870C1F">
        <w:rPr>
          <w:rFonts w:ascii="Times New Roman" w:hAnsi="Times New Roman" w:cs="Times New Roman"/>
          <w:sz w:val="24"/>
          <w:szCs w:val="24"/>
          <w:lang w:val="en-US"/>
        </w:rPr>
        <w:t xml:space="preserve"> T.,</w:t>
      </w:r>
      <w:r w:rsidR="007309B4" w:rsidRPr="008751F4">
        <w:rPr>
          <w:rFonts w:ascii="Times New Roman" w:hAnsi="Times New Roman" w:cs="Times New Roman"/>
          <w:sz w:val="24"/>
          <w:szCs w:val="24"/>
          <w:lang w:val="en-US"/>
        </w:rPr>
        <w:t xml:space="preserve"> Kreute</w:t>
      </w:r>
      <w:r>
        <w:rPr>
          <w:rFonts w:ascii="Times New Roman" w:hAnsi="Times New Roman" w:cs="Times New Roman"/>
          <w:sz w:val="24"/>
          <w:szCs w:val="24"/>
          <w:lang w:val="en-US"/>
        </w:rPr>
        <w:t>r F., Tourangeau, R. (2012).</w:t>
      </w:r>
      <w:r w:rsidR="007309B4" w:rsidRPr="008751F4">
        <w:rPr>
          <w:rFonts w:ascii="Times New Roman" w:hAnsi="Times New Roman" w:cs="Times New Roman"/>
          <w:sz w:val="24"/>
          <w:szCs w:val="24"/>
          <w:lang w:val="en-US"/>
        </w:rPr>
        <w:t xml:space="preserve"> </w:t>
      </w:r>
      <w:proofErr w:type="gramStart"/>
      <w:r w:rsidR="007309B4" w:rsidRPr="008751F4">
        <w:rPr>
          <w:rFonts w:ascii="Times New Roman" w:hAnsi="Times New Roman" w:cs="Times New Roman"/>
          <w:sz w:val="24"/>
          <w:szCs w:val="24"/>
          <w:lang w:val="en-US"/>
        </w:rPr>
        <w:t>“Evaluating Survey Ques</w:t>
      </w:r>
      <w:r>
        <w:rPr>
          <w:rFonts w:ascii="Times New Roman" w:hAnsi="Times New Roman" w:cs="Times New Roman"/>
          <w:sz w:val="24"/>
          <w:szCs w:val="24"/>
          <w:lang w:val="en-US"/>
        </w:rPr>
        <w:t>tions: A Comparison of Methods”.</w:t>
      </w:r>
      <w:proofErr w:type="gramEnd"/>
      <w:r w:rsidR="007309B4" w:rsidRPr="008751F4">
        <w:rPr>
          <w:rFonts w:ascii="Times New Roman" w:hAnsi="Times New Roman" w:cs="Times New Roman"/>
          <w:sz w:val="24"/>
          <w:szCs w:val="24"/>
          <w:lang w:val="en-US"/>
        </w:rPr>
        <w:t xml:space="preserve"> </w:t>
      </w:r>
      <w:r w:rsidR="007309B4" w:rsidRPr="008751F4">
        <w:rPr>
          <w:rFonts w:ascii="Times New Roman" w:hAnsi="Times New Roman" w:cs="Times New Roman"/>
          <w:i/>
          <w:sz w:val="24"/>
          <w:szCs w:val="24"/>
          <w:lang w:val="en-US"/>
        </w:rPr>
        <w:t>Journal of Official Statistics</w:t>
      </w:r>
      <w:r w:rsidR="007309B4" w:rsidRPr="008751F4">
        <w:rPr>
          <w:rFonts w:ascii="Times New Roman" w:hAnsi="Times New Roman" w:cs="Times New Roman"/>
          <w:sz w:val="24"/>
          <w:szCs w:val="24"/>
          <w:lang w:val="en-US"/>
        </w:rPr>
        <w:t>, 28(4</w:t>
      </w:r>
      <w:r w:rsidR="005C3891" w:rsidRPr="008751F4">
        <w:rPr>
          <w:rFonts w:ascii="Times New Roman" w:hAnsi="Times New Roman" w:cs="Times New Roman"/>
          <w:sz w:val="24"/>
          <w:szCs w:val="24"/>
          <w:lang w:val="en-US"/>
        </w:rPr>
        <w:t xml:space="preserve">), </w:t>
      </w:r>
      <w:r w:rsidR="007309B4" w:rsidRPr="008751F4">
        <w:rPr>
          <w:rFonts w:ascii="Times New Roman" w:hAnsi="Times New Roman" w:cs="Times New Roman"/>
          <w:sz w:val="24"/>
          <w:szCs w:val="24"/>
          <w:lang w:val="en-US"/>
        </w:rPr>
        <w:t>503-529.</w:t>
      </w:r>
      <w:bookmarkStart w:id="1" w:name="_Toc456728094"/>
      <w:r w:rsidR="00CF30B3">
        <w:rPr>
          <w:rFonts w:ascii="Times New Roman" w:hAnsi="Times New Roman" w:cs="Times New Roman"/>
          <w:b/>
          <w:sz w:val="24"/>
          <w:szCs w:val="24"/>
          <w:lang w:val="en-US"/>
        </w:rPr>
        <w:br w:type="page"/>
      </w:r>
    </w:p>
    <w:p w:rsidR="004A6692" w:rsidRDefault="002F30AF" w:rsidP="00B91305">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ANNEX</w:t>
      </w:r>
      <w:r w:rsidR="001B00B5">
        <w:rPr>
          <w:rFonts w:ascii="Times New Roman" w:hAnsi="Times New Roman" w:cs="Times New Roman"/>
          <w:b/>
          <w:sz w:val="24"/>
          <w:szCs w:val="24"/>
          <w:lang w:val="en-US"/>
        </w:rPr>
        <w:t xml:space="preserve"> I</w:t>
      </w:r>
    </w:p>
    <w:p w:rsidR="009517AF" w:rsidRPr="008751F4" w:rsidRDefault="009517AF" w:rsidP="00B91305">
      <w:pPr>
        <w:jc w:val="center"/>
        <w:rPr>
          <w:rFonts w:ascii="Times New Roman" w:hAnsi="Times New Roman" w:cs="Times New Roman"/>
          <w:b/>
          <w:sz w:val="24"/>
          <w:szCs w:val="24"/>
          <w:lang w:val="en-US"/>
        </w:rPr>
      </w:pPr>
    </w:p>
    <w:bookmarkEnd w:id="1"/>
    <w:p w:rsidR="004A6692" w:rsidRPr="008751F4" w:rsidRDefault="00AE6A38" w:rsidP="004A6692">
      <w:pPr>
        <w:pStyle w:val="Titre3"/>
        <w:spacing w:before="0" w:line="23" w:lineRule="atLeast"/>
        <w:jc w:val="center"/>
        <w:rPr>
          <w:rFonts w:cs="Times New Roman"/>
          <w:lang w:val="en-US"/>
        </w:rPr>
      </w:pPr>
      <w:r w:rsidRPr="008751F4">
        <w:rPr>
          <w:rFonts w:cs="Times New Roman"/>
          <w:lang w:val="en-US"/>
        </w:rPr>
        <w:t>Operationalization of Research Constructs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4770"/>
        <w:gridCol w:w="4050"/>
      </w:tblGrid>
      <w:tr w:rsidR="00EB5A3C" w:rsidRPr="00CF30B3" w:rsidTr="00544B44">
        <w:trPr>
          <w:tblHeader/>
        </w:trPr>
        <w:tc>
          <w:tcPr>
            <w:tcW w:w="378" w:type="dxa"/>
          </w:tcPr>
          <w:p w:rsidR="00EB5A3C" w:rsidRPr="00CF30B3" w:rsidRDefault="00EB5A3C" w:rsidP="00544B44">
            <w:pPr>
              <w:ind w:left="-90" w:right="-108"/>
              <w:rPr>
                <w:rFonts w:ascii="Times New Roman" w:hAnsi="Times New Roman" w:cs="Times New Roman"/>
                <w:i/>
                <w:sz w:val="20"/>
                <w:szCs w:val="20"/>
              </w:rPr>
            </w:pPr>
          </w:p>
        </w:tc>
        <w:tc>
          <w:tcPr>
            <w:tcW w:w="4770" w:type="dxa"/>
          </w:tcPr>
          <w:p w:rsidR="00EB5A3C" w:rsidRPr="00CF30B3" w:rsidRDefault="00EB5A3C" w:rsidP="00544B44">
            <w:pPr>
              <w:ind w:left="-18" w:right="-72"/>
              <w:rPr>
                <w:rFonts w:ascii="Times New Roman" w:hAnsi="Times New Roman" w:cs="Times New Roman"/>
                <w:b/>
                <w:i/>
                <w:sz w:val="20"/>
                <w:szCs w:val="20"/>
                <w:lang w:val="en-US"/>
              </w:rPr>
            </w:pPr>
            <w:r w:rsidRPr="00CF30B3">
              <w:rPr>
                <w:rFonts w:ascii="Times New Roman" w:hAnsi="Times New Roman" w:cs="Times New Roman"/>
                <w:b/>
                <w:i/>
                <w:sz w:val="20"/>
                <w:szCs w:val="20"/>
                <w:lang w:val="en-US"/>
              </w:rPr>
              <w:t>Items</w:t>
            </w:r>
          </w:p>
        </w:tc>
        <w:tc>
          <w:tcPr>
            <w:tcW w:w="4050" w:type="dxa"/>
          </w:tcPr>
          <w:p w:rsidR="00EB5A3C" w:rsidRPr="00CF30B3" w:rsidRDefault="00EB5A3C" w:rsidP="00544B44">
            <w:pPr>
              <w:ind w:left="-18" w:right="-72"/>
              <w:rPr>
                <w:rFonts w:ascii="Times New Roman" w:hAnsi="Times New Roman" w:cs="Times New Roman"/>
                <w:b/>
                <w:i/>
                <w:sz w:val="20"/>
                <w:szCs w:val="20"/>
                <w:lang w:val="en-US"/>
              </w:rPr>
            </w:pPr>
            <w:r w:rsidRPr="00CF30B3">
              <w:rPr>
                <w:rFonts w:ascii="Times New Roman" w:hAnsi="Times New Roman" w:cs="Times New Roman"/>
                <w:b/>
                <w:i/>
                <w:sz w:val="20"/>
                <w:szCs w:val="20"/>
                <w:lang w:val="en-US"/>
              </w:rPr>
              <w:t>Pertinent literature</w:t>
            </w:r>
          </w:p>
        </w:tc>
      </w:tr>
      <w:tr w:rsidR="00EB5A3C" w:rsidRPr="00CF30B3" w:rsidTr="00544B44">
        <w:tc>
          <w:tcPr>
            <w:tcW w:w="378" w:type="dxa"/>
          </w:tcPr>
          <w:p w:rsidR="00EB5A3C" w:rsidRPr="00CF30B3" w:rsidRDefault="00EB5A3C" w:rsidP="00544B44">
            <w:pPr>
              <w:pStyle w:val="Paragraphedeliste"/>
              <w:numPr>
                <w:ilvl w:val="0"/>
                <w:numId w:val="2"/>
              </w:numPr>
              <w:spacing w:after="0" w:line="240" w:lineRule="auto"/>
              <w:ind w:left="-90" w:right="-108" w:firstLine="0"/>
              <w:contextualSpacing w:val="0"/>
              <w:rPr>
                <w:rFonts w:ascii="Times New Roman" w:hAnsi="Times New Roman"/>
                <w:sz w:val="20"/>
                <w:szCs w:val="20"/>
              </w:rPr>
            </w:pPr>
          </w:p>
        </w:tc>
        <w:tc>
          <w:tcPr>
            <w:tcW w:w="4770" w:type="dxa"/>
          </w:tcPr>
          <w:p w:rsidR="00EB5A3C" w:rsidRPr="00CF30B3" w:rsidRDefault="00EB5A3C" w:rsidP="00544B44">
            <w:pPr>
              <w:tabs>
                <w:tab w:val="right" w:pos="4554"/>
              </w:tabs>
              <w:ind w:left="-18"/>
              <w:rPr>
                <w:rFonts w:ascii="Times New Roman" w:hAnsi="Times New Roman" w:cs="Times New Roman"/>
                <w:sz w:val="20"/>
                <w:szCs w:val="20"/>
                <w:lang w:val="en-US"/>
              </w:rPr>
            </w:pPr>
            <w:r w:rsidRPr="00CF30B3">
              <w:rPr>
                <w:rFonts w:ascii="Times New Roman" w:hAnsi="Times New Roman" w:cs="Times New Roman"/>
                <w:sz w:val="20"/>
                <w:szCs w:val="20"/>
                <w:lang w:val="en-US"/>
              </w:rPr>
              <w:t>PDCA (Plan-Do-Check-Act)</w:t>
            </w:r>
          </w:p>
        </w:tc>
        <w:tc>
          <w:tcPr>
            <w:tcW w:w="4050" w:type="dxa"/>
          </w:tcPr>
          <w:p w:rsidR="00EB5A3C" w:rsidRPr="00CF30B3" w:rsidRDefault="002644A3" w:rsidP="00544B44">
            <w:pPr>
              <w:ind w:left="-18"/>
              <w:rPr>
                <w:rFonts w:ascii="Times New Roman" w:hAnsi="Times New Roman" w:cs="Times New Roman"/>
                <w:sz w:val="20"/>
                <w:szCs w:val="20"/>
                <w:lang w:val="en-US"/>
              </w:rPr>
            </w:pPr>
            <w:r>
              <w:rPr>
                <w:rFonts w:ascii="Times New Roman" w:hAnsi="Times New Roman" w:cs="Times New Roman"/>
                <w:sz w:val="20"/>
                <w:szCs w:val="20"/>
                <w:lang w:val="en-US"/>
              </w:rPr>
              <w:t>Bernardo et al. (</w:t>
            </w:r>
            <w:r w:rsidR="00522380" w:rsidRPr="00CF30B3">
              <w:rPr>
                <w:rFonts w:ascii="Times New Roman" w:hAnsi="Times New Roman" w:cs="Times New Roman"/>
                <w:sz w:val="20"/>
                <w:szCs w:val="20"/>
                <w:lang w:val="en-US"/>
              </w:rPr>
              <w:t>2009</w:t>
            </w:r>
            <w:r>
              <w:rPr>
                <w:rFonts w:ascii="Times New Roman" w:hAnsi="Times New Roman" w:cs="Times New Roman"/>
                <w:sz w:val="20"/>
                <w:szCs w:val="20"/>
                <w:lang w:val="en-US"/>
              </w:rPr>
              <w:t>)</w:t>
            </w:r>
            <w:r w:rsidR="00217980" w:rsidRPr="00CF30B3">
              <w:rPr>
                <w:rFonts w:ascii="Times New Roman" w:hAnsi="Times New Roman" w:cs="Times New Roman"/>
                <w:sz w:val="20"/>
                <w:szCs w:val="20"/>
                <w:lang w:val="en-US"/>
              </w:rPr>
              <w:t>;</w:t>
            </w:r>
            <w:r w:rsidR="00217980" w:rsidRPr="00CF30B3">
              <w:rPr>
                <w:rFonts w:ascii="Times New Roman" w:hAnsi="Times New Roman" w:cs="Times New Roman"/>
                <w:noProof/>
                <w:sz w:val="20"/>
                <w:szCs w:val="20"/>
                <w:lang w:val="en-US"/>
              </w:rPr>
              <w:t xml:space="preserve"> Garengo &amp; Biazzo (2013)</w:t>
            </w:r>
          </w:p>
        </w:tc>
      </w:tr>
      <w:tr w:rsidR="00EB5A3C" w:rsidRPr="00CF30B3" w:rsidTr="00544B44">
        <w:tc>
          <w:tcPr>
            <w:tcW w:w="378" w:type="dxa"/>
          </w:tcPr>
          <w:p w:rsidR="00EB5A3C" w:rsidRPr="00CF30B3" w:rsidRDefault="00EB5A3C"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tcPr>
          <w:p w:rsidR="00EB5A3C" w:rsidRPr="00CF30B3" w:rsidRDefault="00EB5A3C"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Process map</w:t>
            </w:r>
          </w:p>
        </w:tc>
        <w:tc>
          <w:tcPr>
            <w:tcW w:w="4050" w:type="dxa"/>
          </w:tcPr>
          <w:p w:rsidR="00EB5A3C" w:rsidRPr="00CF30B3" w:rsidRDefault="002644A3" w:rsidP="00544B44">
            <w:pPr>
              <w:ind w:left="-18" w:right="-72"/>
              <w:rPr>
                <w:rFonts w:ascii="Times New Roman" w:hAnsi="Times New Roman" w:cs="Times New Roman"/>
                <w:sz w:val="20"/>
                <w:szCs w:val="20"/>
                <w:lang w:val="en-US"/>
              </w:rPr>
            </w:pPr>
            <w:r>
              <w:rPr>
                <w:rFonts w:ascii="Times New Roman" w:hAnsi="Times New Roman" w:cs="Times New Roman"/>
                <w:sz w:val="20"/>
                <w:szCs w:val="20"/>
                <w:lang w:val="en-US"/>
              </w:rPr>
              <w:t>Bernardo et al. (</w:t>
            </w:r>
            <w:r w:rsidR="000F6C42" w:rsidRPr="00CF30B3">
              <w:rPr>
                <w:rFonts w:ascii="Times New Roman" w:hAnsi="Times New Roman" w:cs="Times New Roman"/>
                <w:sz w:val="20"/>
                <w:szCs w:val="20"/>
                <w:lang w:val="en-US"/>
              </w:rPr>
              <w:t>2009</w:t>
            </w:r>
            <w:r>
              <w:rPr>
                <w:rFonts w:ascii="Times New Roman" w:hAnsi="Times New Roman" w:cs="Times New Roman"/>
                <w:sz w:val="20"/>
                <w:szCs w:val="20"/>
                <w:lang w:val="en-US"/>
              </w:rPr>
              <w:t>)</w:t>
            </w:r>
          </w:p>
        </w:tc>
      </w:tr>
      <w:tr w:rsidR="00EB5A3C" w:rsidRPr="00CF30B3" w:rsidTr="00544B44">
        <w:tc>
          <w:tcPr>
            <w:tcW w:w="378" w:type="dxa"/>
          </w:tcPr>
          <w:p w:rsidR="00EB5A3C" w:rsidRPr="00CF30B3" w:rsidRDefault="00EB5A3C" w:rsidP="00544B44">
            <w:pPr>
              <w:pStyle w:val="Paragraphedeliste"/>
              <w:numPr>
                <w:ilvl w:val="0"/>
                <w:numId w:val="2"/>
              </w:numPr>
              <w:spacing w:after="0" w:line="240" w:lineRule="auto"/>
              <w:ind w:left="-90" w:right="-108" w:firstLine="0"/>
              <w:contextualSpacing w:val="0"/>
              <w:rPr>
                <w:rFonts w:ascii="Times New Roman" w:hAnsi="Times New Roman"/>
                <w:sz w:val="20"/>
                <w:szCs w:val="20"/>
              </w:rPr>
            </w:pPr>
          </w:p>
        </w:tc>
        <w:tc>
          <w:tcPr>
            <w:tcW w:w="4770" w:type="dxa"/>
          </w:tcPr>
          <w:p w:rsidR="00EB5A3C" w:rsidRPr="00CF30B3" w:rsidRDefault="00EB5A3C"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Standards’ common elements</w:t>
            </w:r>
          </w:p>
        </w:tc>
        <w:tc>
          <w:tcPr>
            <w:tcW w:w="4050" w:type="dxa"/>
          </w:tcPr>
          <w:p w:rsidR="00EB5A3C" w:rsidRPr="00CF30B3" w:rsidRDefault="002644A3" w:rsidP="00544B44">
            <w:pPr>
              <w:ind w:left="-18" w:right="-72"/>
              <w:rPr>
                <w:rFonts w:ascii="Times New Roman" w:hAnsi="Times New Roman" w:cs="Times New Roman"/>
                <w:sz w:val="20"/>
                <w:szCs w:val="20"/>
                <w:lang w:val="en-US"/>
              </w:rPr>
            </w:pPr>
            <w:r>
              <w:rPr>
                <w:rFonts w:ascii="Times New Roman" w:hAnsi="Times New Roman" w:cs="Times New Roman"/>
                <w:sz w:val="20"/>
                <w:szCs w:val="20"/>
                <w:lang w:val="en-US"/>
              </w:rPr>
              <w:t>Bernardo et al. (</w:t>
            </w:r>
            <w:r w:rsidR="000F6C42" w:rsidRPr="00CF30B3">
              <w:rPr>
                <w:rFonts w:ascii="Times New Roman" w:hAnsi="Times New Roman" w:cs="Times New Roman"/>
                <w:sz w:val="20"/>
                <w:szCs w:val="20"/>
                <w:lang w:val="en-US"/>
              </w:rPr>
              <w:t>2009</w:t>
            </w:r>
            <w:r>
              <w:rPr>
                <w:rFonts w:ascii="Times New Roman" w:hAnsi="Times New Roman" w:cs="Times New Roman"/>
                <w:sz w:val="20"/>
                <w:szCs w:val="20"/>
                <w:lang w:val="en-US"/>
              </w:rPr>
              <w:t>)</w:t>
            </w:r>
          </w:p>
        </w:tc>
      </w:tr>
      <w:tr w:rsidR="00EB5A3C" w:rsidRPr="00CF30B3" w:rsidTr="00544B44">
        <w:tc>
          <w:tcPr>
            <w:tcW w:w="378" w:type="dxa"/>
          </w:tcPr>
          <w:p w:rsidR="00EB5A3C" w:rsidRPr="00CF30B3" w:rsidRDefault="00EB5A3C" w:rsidP="00544B44">
            <w:pPr>
              <w:pStyle w:val="Paragraphedeliste"/>
              <w:numPr>
                <w:ilvl w:val="0"/>
                <w:numId w:val="2"/>
              </w:numPr>
              <w:spacing w:after="0" w:line="240" w:lineRule="auto"/>
              <w:ind w:left="-90" w:right="-108" w:firstLine="0"/>
              <w:contextualSpacing w:val="0"/>
              <w:rPr>
                <w:rFonts w:ascii="Times New Roman" w:hAnsi="Times New Roman"/>
                <w:sz w:val="20"/>
                <w:szCs w:val="20"/>
              </w:rPr>
            </w:pPr>
          </w:p>
        </w:tc>
        <w:tc>
          <w:tcPr>
            <w:tcW w:w="4770" w:type="dxa"/>
          </w:tcPr>
          <w:p w:rsidR="00EB5A3C" w:rsidRPr="00CF30B3" w:rsidRDefault="00EB5A3C" w:rsidP="00544B44">
            <w:pPr>
              <w:ind w:left="-18" w:right="-72"/>
              <w:rPr>
                <w:rFonts w:ascii="Times New Roman" w:hAnsi="Times New Roman" w:cs="Times New Roman"/>
                <w:sz w:val="20"/>
                <w:szCs w:val="20"/>
              </w:rPr>
            </w:pPr>
            <w:r w:rsidRPr="00CF30B3">
              <w:rPr>
                <w:rFonts w:ascii="Times New Roman" w:hAnsi="Times New Roman" w:cs="Times New Roman"/>
                <w:sz w:val="20"/>
                <w:szCs w:val="20"/>
                <w:lang w:val="en-US"/>
              </w:rPr>
              <w:t>Tailored framework</w:t>
            </w:r>
          </w:p>
        </w:tc>
        <w:tc>
          <w:tcPr>
            <w:tcW w:w="4050" w:type="dxa"/>
          </w:tcPr>
          <w:p w:rsidR="00EB5A3C" w:rsidRPr="00CF30B3" w:rsidRDefault="002644A3" w:rsidP="00544B44">
            <w:pPr>
              <w:ind w:left="-18" w:right="-72"/>
              <w:rPr>
                <w:rFonts w:ascii="Times New Roman" w:hAnsi="Times New Roman" w:cs="Times New Roman"/>
                <w:sz w:val="20"/>
                <w:szCs w:val="20"/>
                <w:lang w:val="en-US"/>
              </w:rPr>
            </w:pPr>
            <w:r>
              <w:rPr>
                <w:rFonts w:ascii="Times New Roman" w:hAnsi="Times New Roman" w:cs="Times New Roman"/>
                <w:sz w:val="20"/>
                <w:szCs w:val="20"/>
                <w:lang w:val="en-US"/>
              </w:rPr>
              <w:t>Bernardo et al. (</w:t>
            </w:r>
            <w:r w:rsidR="000F6C42" w:rsidRPr="00CF30B3">
              <w:rPr>
                <w:rFonts w:ascii="Times New Roman" w:hAnsi="Times New Roman" w:cs="Times New Roman"/>
                <w:sz w:val="20"/>
                <w:szCs w:val="20"/>
                <w:lang w:val="en-US"/>
              </w:rPr>
              <w:t>2009</w:t>
            </w:r>
            <w:r>
              <w:rPr>
                <w:rFonts w:ascii="Times New Roman" w:hAnsi="Times New Roman" w:cs="Times New Roman"/>
                <w:sz w:val="20"/>
                <w:szCs w:val="20"/>
                <w:lang w:val="en-US"/>
              </w:rPr>
              <w:t>);</w:t>
            </w:r>
            <w:r w:rsidR="00217980" w:rsidRPr="00CF30B3">
              <w:rPr>
                <w:rFonts w:ascii="Times New Roman" w:hAnsi="Times New Roman" w:cs="Times New Roman"/>
                <w:noProof/>
                <w:sz w:val="20"/>
                <w:szCs w:val="20"/>
                <w:lang w:val="en-US"/>
              </w:rPr>
              <w:t xml:space="preserve"> Garengo &amp; Biazzo (2013)</w:t>
            </w:r>
          </w:p>
        </w:tc>
      </w:tr>
      <w:tr w:rsidR="00A629E5" w:rsidRPr="00CF30B3" w:rsidTr="00544B44">
        <w:tc>
          <w:tcPr>
            <w:tcW w:w="378" w:type="dxa"/>
          </w:tcPr>
          <w:p w:rsidR="00A629E5" w:rsidRPr="00CF30B3" w:rsidRDefault="00A629E5" w:rsidP="00544B44">
            <w:pPr>
              <w:pStyle w:val="Paragraphedeliste"/>
              <w:numPr>
                <w:ilvl w:val="0"/>
                <w:numId w:val="2"/>
              </w:numPr>
              <w:spacing w:after="0" w:line="240" w:lineRule="auto"/>
              <w:ind w:left="-90" w:right="-108" w:firstLine="0"/>
              <w:contextualSpacing w:val="0"/>
              <w:rPr>
                <w:rFonts w:ascii="Times New Roman" w:hAnsi="Times New Roman"/>
                <w:sz w:val="20"/>
                <w:szCs w:val="20"/>
              </w:rPr>
            </w:pPr>
          </w:p>
        </w:tc>
        <w:tc>
          <w:tcPr>
            <w:tcW w:w="4770" w:type="dxa"/>
          </w:tcPr>
          <w:p w:rsidR="00A629E5" w:rsidRPr="00CF30B3" w:rsidRDefault="00A629E5"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MS embeddedness in corporate culture</w:t>
            </w:r>
          </w:p>
        </w:tc>
        <w:tc>
          <w:tcPr>
            <w:tcW w:w="4050" w:type="dxa"/>
          </w:tcPr>
          <w:p w:rsidR="00A629E5" w:rsidRPr="00CF30B3" w:rsidRDefault="00A629E5"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A629E5" w:rsidRPr="00CF30B3" w:rsidTr="00544B44">
        <w:tc>
          <w:tcPr>
            <w:tcW w:w="378" w:type="dxa"/>
          </w:tcPr>
          <w:p w:rsidR="00A629E5" w:rsidRPr="00CF30B3" w:rsidRDefault="00A629E5"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tcPr>
          <w:p w:rsidR="00A629E5" w:rsidRPr="00CF30B3" w:rsidRDefault="00A629E5"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Managers’ awareness of MS potential benefits.</w:t>
            </w:r>
          </w:p>
        </w:tc>
        <w:tc>
          <w:tcPr>
            <w:tcW w:w="4050" w:type="dxa"/>
          </w:tcPr>
          <w:p w:rsidR="00A629E5" w:rsidRPr="00CF30B3" w:rsidRDefault="00A629E5"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A629E5" w:rsidRPr="00CF30B3" w:rsidTr="00544B44">
        <w:tc>
          <w:tcPr>
            <w:tcW w:w="378" w:type="dxa"/>
          </w:tcPr>
          <w:p w:rsidR="00A629E5" w:rsidRPr="00CF30B3" w:rsidRDefault="00A629E5"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tcPr>
          <w:p w:rsidR="00A629E5" w:rsidRPr="00CF30B3" w:rsidRDefault="00A629E5"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Employees’ awareness of MS potential benefits.</w:t>
            </w:r>
          </w:p>
        </w:tc>
        <w:tc>
          <w:tcPr>
            <w:tcW w:w="4050" w:type="dxa"/>
          </w:tcPr>
          <w:p w:rsidR="00A629E5" w:rsidRPr="00CF30B3" w:rsidRDefault="00A629E5"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EB5A3C" w:rsidRPr="00CF30B3" w:rsidTr="00544B44">
        <w:tc>
          <w:tcPr>
            <w:tcW w:w="378" w:type="dxa"/>
          </w:tcPr>
          <w:p w:rsidR="00EB5A3C" w:rsidRPr="00CF30B3" w:rsidRDefault="00EB5A3C"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tcPr>
          <w:p w:rsidR="00EB5A3C" w:rsidRPr="00CF30B3" w:rsidRDefault="00EB5A3C"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Corporate experience in multiple MS implementation</w:t>
            </w:r>
          </w:p>
        </w:tc>
        <w:tc>
          <w:tcPr>
            <w:tcW w:w="4050" w:type="dxa"/>
          </w:tcPr>
          <w:p w:rsidR="00EB5A3C" w:rsidRPr="00CF30B3" w:rsidRDefault="00917B0E"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Asif et al. (2009); Oliveira (</w:t>
            </w:r>
            <w:r w:rsidR="000F6C42" w:rsidRPr="00CF30B3">
              <w:rPr>
                <w:rFonts w:ascii="Times New Roman" w:hAnsi="Times New Roman" w:cs="Times New Roman"/>
                <w:sz w:val="20"/>
                <w:szCs w:val="20"/>
                <w:lang w:val="en-US"/>
              </w:rPr>
              <w:t>2013</w:t>
            </w:r>
            <w:r w:rsidRPr="00CF30B3">
              <w:rPr>
                <w:rFonts w:ascii="Times New Roman" w:hAnsi="Times New Roman" w:cs="Times New Roman"/>
                <w:sz w:val="20"/>
                <w:szCs w:val="20"/>
                <w:lang w:val="en-US"/>
              </w:rPr>
              <w:t>)</w:t>
            </w:r>
          </w:p>
        </w:tc>
      </w:tr>
      <w:tr w:rsidR="00EB5A3C" w:rsidRPr="00CF30B3" w:rsidTr="00544B44">
        <w:trPr>
          <w:trHeight w:val="161"/>
        </w:trPr>
        <w:tc>
          <w:tcPr>
            <w:tcW w:w="378" w:type="dxa"/>
          </w:tcPr>
          <w:p w:rsidR="00EB5A3C" w:rsidRPr="00CF30B3" w:rsidRDefault="00EB5A3C" w:rsidP="00544B44">
            <w:pPr>
              <w:pStyle w:val="Paragraphedeliste"/>
              <w:numPr>
                <w:ilvl w:val="0"/>
                <w:numId w:val="2"/>
              </w:numPr>
              <w:spacing w:after="0" w:line="240" w:lineRule="auto"/>
              <w:ind w:left="-90" w:right="-108" w:firstLine="0"/>
              <w:contextualSpacing w:val="0"/>
              <w:rPr>
                <w:rFonts w:ascii="Times New Roman" w:hAnsi="Times New Roman"/>
                <w:sz w:val="20"/>
                <w:szCs w:val="20"/>
              </w:rPr>
            </w:pPr>
          </w:p>
        </w:tc>
        <w:tc>
          <w:tcPr>
            <w:tcW w:w="4770" w:type="dxa"/>
          </w:tcPr>
          <w:p w:rsidR="00EB5A3C" w:rsidRPr="00CF30B3" w:rsidRDefault="00EB5A3C"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MS operation is the exclusive task of MS managers.</w:t>
            </w:r>
          </w:p>
        </w:tc>
        <w:tc>
          <w:tcPr>
            <w:tcW w:w="4050" w:type="dxa"/>
          </w:tcPr>
          <w:p w:rsidR="00EB5A3C" w:rsidRPr="00CF30B3" w:rsidRDefault="00917B0E"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Simon &amp; Bernardo (</w:t>
            </w:r>
            <w:r w:rsidR="000F6C42" w:rsidRPr="00CF30B3">
              <w:rPr>
                <w:rFonts w:ascii="Times New Roman" w:hAnsi="Times New Roman" w:cs="Times New Roman"/>
                <w:sz w:val="20"/>
                <w:szCs w:val="20"/>
                <w:lang w:val="en-US"/>
              </w:rPr>
              <w:t>2014</w:t>
            </w:r>
            <w:r w:rsidRPr="00CF30B3">
              <w:rPr>
                <w:rFonts w:ascii="Times New Roman" w:hAnsi="Times New Roman" w:cs="Times New Roman"/>
                <w:sz w:val="20"/>
                <w:szCs w:val="20"/>
                <w:lang w:val="en-US"/>
              </w:rPr>
              <w:t>)</w:t>
            </w:r>
          </w:p>
        </w:tc>
      </w:tr>
      <w:tr w:rsidR="00EB5A3C" w:rsidRPr="00CF30B3" w:rsidTr="00544B44">
        <w:tc>
          <w:tcPr>
            <w:tcW w:w="378" w:type="dxa"/>
          </w:tcPr>
          <w:p w:rsidR="00EB5A3C" w:rsidRPr="00CF30B3" w:rsidRDefault="00EB5A3C"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tcPr>
          <w:p w:rsidR="00EB5A3C" w:rsidRPr="00CF30B3" w:rsidRDefault="00EB5A3C"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Employees receive regular training in MS implementation.</w:t>
            </w:r>
          </w:p>
        </w:tc>
        <w:tc>
          <w:tcPr>
            <w:tcW w:w="4050" w:type="dxa"/>
          </w:tcPr>
          <w:p w:rsidR="00EB5A3C" w:rsidRPr="00CF30B3" w:rsidRDefault="000F6C42"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 xml:space="preserve">Bernardo </w:t>
            </w:r>
            <w:r w:rsidR="00917B0E" w:rsidRPr="00CF30B3">
              <w:rPr>
                <w:rFonts w:ascii="Times New Roman" w:hAnsi="Times New Roman" w:cs="Times New Roman"/>
                <w:sz w:val="20"/>
                <w:szCs w:val="20"/>
                <w:lang w:val="en-US"/>
              </w:rPr>
              <w:t>et al. (</w:t>
            </w:r>
            <w:r w:rsidRPr="00CF30B3">
              <w:rPr>
                <w:rFonts w:ascii="Times New Roman" w:hAnsi="Times New Roman" w:cs="Times New Roman"/>
                <w:sz w:val="20"/>
                <w:szCs w:val="20"/>
                <w:lang w:val="en-US"/>
              </w:rPr>
              <w:t>2010</w:t>
            </w:r>
            <w:r w:rsidR="00917B0E" w:rsidRPr="00CF30B3">
              <w:rPr>
                <w:rFonts w:ascii="Times New Roman" w:hAnsi="Times New Roman" w:cs="Times New Roman"/>
                <w:sz w:val="20"/>
                <w:szCs w:val="20"/>
                <w:lang w:val="en-US"/>
              </w:rPr>
              <w:t>); Nunhes et al. (</w:t>
            </w:r>
            <w:r w:rsidRPr="00CF30B3">
              <w:rPr>
                <w:rFonts w:ascii="Times New Roman" w:hAnsi="Times New Roman" w:cs="Times New Roman"/>
                <w:sz w:val="20"/>
                <w:szCs w:val="20"/>
                <w:lang w:val="en-US"/>
              </w:rPr>
              <w:t>2019</w:t>
            </w:r>
            <w:r w:rsidR="00917B0E" w:rsidRPr="00CF30B3">
              <w:rPr>
                <w:rFonts w:ascii="Times New Roman" w:hAnsi="Times New Roman" w:cs="Times New Roman"/>
                <w:sz w:val="20"/>
                <w:szCs w:val="20"/>
                <w:lang w:val="en-US"/>
              </w:rPr>
              <w:t>); Simon et al. (</w:t>
            </w:r>
            <w:r w:rsidR="007573EC" w:rsidRPr="00CF30B3">
              <w:rPr>
                <w:rFonts w:ascii="Times New Roman" w:hAnsi="Times New Roman" w:cs="Times New Roman"/>
                <w:sz w:val="20"/>
                <w:szCs w:val="20"/>
                <w:lang w:val="en-US"/>
              </w:rPr>
              <w:t>2014</w:t>
            </w:r>
            <w:r w:rsidR="00917B0E" w:rsidRPr="00CF30B3">
              <w:rPr>
                <w:rFonts w:ascii="Times New Roman" w:hAnsi="Times New Roman" w:cs="Times New Roman"/>
                <w:sz w:val="20"/>
                <w:szCs w:val="20"/>
                <w:lang w:val="en-US"/>
              </w:rPr>
              <w:t>)</w:t>
            </w:r>
          </w:p>
        </w:tc>
      </w:tr>
      <w:tr w:rsidR="005E3670" w:rsidRPr="00CF30B3" w:rsidTr="00544B44">
        <w:trPr>
          <w:trHeight w:val="226"/>
        </w:trPr>
        <w:tc>
          <w:tcPr>
            <w:tcW w:w="378" w:type="dxa"/>
          </w:tcPr>
          <w:p w:rsidR="005E3670" w:rsidRPr="00CF30B3" w:rsidRDefault="005E3670"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tcPr>
          <w:p w:rsidR="005E3670" w:rsidRPr="00CF30B3" w:rsidRDefault="005E3670"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Employees are engaged in MS implementation</w:t>
            </w:r>
          </w:p>
        </w:tc>
        <w:tc>
          <w:tcPr>
            <w:tcW w:w="4050" w:type="dxa"/>
          </w:tcPr>
          <w:p w:rsidR="005E3670" w:rsidRPr="00CF30B3" w:rsidRDefault="005E3670"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tcPr>
          <w:p w:rsidR="005E3670" w:rsidRPr="00CF30B3" w:rsidRDefault="005E3670"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IT tools</w:t>
            </w:r>
          </w:p>
        </w:tc>
        <w:tc>
          <w:tcPr>
            <w:tcW w:w="4050" w:type="dxa"/>
          </w:tcPr>
          <w:p w:rsidR="005E3670" w:rsidRPr="00CF30B3" w:rsidRDefault="00217980" w:rsidP="00544B44">
            <w:pPr>
              <w:ind w:left="-18" w:right="-72"/>
              <w:rPr>
                <w:rFonts w:ascii="Times New Roman" w:hAnsi="Times New Roman" w:cs="Times New Roman"/>
                <w:sz w:val="20"/>
                <w:szCs w:val="20"/>
                <w:lang w:val="en-US"/>
              </w:rPr>
            </w:pPr>
            <w:r w:rsidRPr="00CF30B3">
              <w:rPr>
                <w:rFonts w:ascii="Times New Roman" w:hAnsi="Times New Roman" w:cs="Times New Roman"/>
                <w:noProof/>
                <w:sz w:val="20"/>
                <w:szCs w:val="20"/>
                <w:lang w:val="en-US"/>
              </w:rPr>
              <w:t xml:space="preserve">Garengo &amp; Biazzo (2013); </w:t>
            </w:r>
            <w:r w:rsidR="005E3670" w:rsidRPr="00CF30B3">
              <w:rPr>
                <w:rFonts w:ascii="Times New Roman" w:hAnsi="Times New Roman" w:cs="Times New Roman"/>
                <w:sz w:val="20"/>
                <w:szCs w:val="20"/>
                <w:lang w:val="en-US"/>
              </w:rPr>
              <w:t>Savino &amp; Batbaatar (2015)</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tcPr>
          <w:p w:rsidR="005E3670" w:rsidRPr="00CF30B3" w:rsidRDefault="005E3670"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ERP</w:t>
            </w:r>
          </w:p>
        </w:tc>
        <w:tc>
          <w:tcPr>
            <w:tcW w:w="4050" w:type="dxa"/>
          </w:tcPr>
          <w:p w:rsidR="005E3670" w:rsidRPr="00CF30B3" w:rsidRDefault="005E3670"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5E3670" w:rsidRPr="00CF30B3" w:rsidTr="00544B44">
        <w:tc>
          <w:tcPr>
            <w:tcW w:w="378" w:type="dxa"/>
            <w:shd w:val="clear" w:color="auto" w:fill="auto"/>
          </w:tcPr>
          <w:p w:rsidR="005E3670" w:rsidRPr="00CF30B3" w:rsidRDefault="005E3670"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shd w:val="clear" w:color="auto" w:fill="auto"/>
          </w:tcPr>
          <w:p w:rsidR="005E3670" w:rsidRPr="00CF30B3" w:rsidRDefault="005E3670"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Business Intelligence</w:t>
            </w:r>
          </w:p>
        </w:tc>
        <w:tc>
          <w:tcPr>
            <w:tcW w:w="4050" w:type="dxa"/>
          </w:tcPr>
          <w:p w:rsidR="005E3670" w:rsidRPr="00CF30B3" w:rsidRDefault="007D63D2"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Gianni et al. (2016); Gianni &amp; Gotzamani (2016)</w:t>
            </w:r>
          </w:p>
        </w:tc>
      </w:tr>
      <w:tr w:rsidR="005E3670" w:rsidRPr="00CF30B3" w:rsidTr="00544B44">
        <w:tc>
          <w:tcPr>
            <w:tcW w:w="378" w:type="dxa"/>
            <w:shd w:val="clear" w:color="auto" w:fill="auto"/>
          </w:tcPr>
          <w:p w:rsidR="005E3670" w:rsidRPr="00CF30B3" w:rsidRDefault="005E3670" w:rsidP="00544B44">
            <w:pPr>
              <w:pStyle w:val="Paragraphedeliste"/>
              <w:numPr>
                <w:ilvl w:val="0"/>
                <w:numId w:val="2"/>
              </w:numPr>
              <w:spacing w:after="0" w:line="240" w:lineRule="auto"/>
              <w:ind w:left="-90" w:right="-108" w:firstLine="0"/>
              <w:contextualSpacing w:val="0"/>
              <w:rPr>
                <w:rFonts w:ascii="Times New Roman" w:hAnsi="Times New Roman"/>
                <w:sz w:val="20"/>
                <w:szCs w:val="20"/>
                <w:lang w:val="en-US"/>
              </w:rPr>
            </w:pPr>
          </w:p>
        </w:tc>
        <w:tc>
          <w:tcPr>
            <w:tcW w:w="4770" w:type="dxa"/>
            <w:shd w:val="clear" w:color="auto" w:fill="auto"/>
          </w:tcPr>
          <w:p w:rsidR="005E3670" w:rsidRPr="00CF30B3" w:rsidRDefault="005E3670" w:rsidP="00544B44">
            <w:pPr>
              <w:ind w:left="-18" w:right="-72"/>
              <w:rPr>
                <w:rFonts w:ascii="Times New Roman" w:hAnsi="Times New Roman" w:cs="Times New Roman"/>
                <w:sz w:val="20"/>
                <w:szCs w:val="20"/>
              </w:rPr>
            </w:pPr>
            <w:r w:rsidRPr="00CF30B3">
              <w:rPr>
                <w:rFonts w:ascii="Times New Roman" w:hAnsi="Times New Roman" w:cs="Times New Roman"/>
                <w:sz w:val="20"/>
                <w:szCs w:val="20"/>
                <w:lang w:val="en-US"/>
              </w:rPr>
              <w:t>Decision support systems</w:t>
            </w:r>
          </w:p>
        </w:tc>
        <w:tc>
          <w:tcPr>
            <w:tcW w:w="4050" w:type="dxa"/>
          </w:tcPr>
          <w:p w:rsidR="005E3670" w:rsidRPr="00CF30B3" w:rsidRDefault="007D63D2"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contextualSpacing w:val="0"/>
              <w:rPr>
                <w:rFonts w:ascii="Times New Roman" w:hAnsi="Times New Roman"/>
                <w:noProof/>
                <w:sz w:val="20"/>
                <w:szCs w:val="20"/>
              </w:rPr>
            </w:pPr>
          </w:p>
        </w:tc>
        <w:tc>
          <w:tcPr>
            <w:tcW w:w="4770" w:type="dxa"/>
          </w:tcPr>
          <w:p w:rsidR="005E3670" w:rsidRPr="00CF30B3" w:rsidRDefault="005E3670" w:rsidP="00544B44">
            <w:pPr>
              <w:ind w:left="-18" w:right="-72"/>
              <w:rPr>
                <w:rFonts w:ascii="Times New Roman" w:hAnsi="Times New Roman" w:cs="Times New Roman"/>
                <w:sz w:val="20"/>
                <w:szCs w:val="20"/>
                <w:lang w:val="en-US"/>
              </w:rPr>
            </w:pPr>
            <w:r w:rsidRPr="00CF30B3">
              <w:rPr>
                <w:rFonts w:ascii="Times New Roman" w:hAnsi="Times New Roman" w:cs="Times New Roman"/>
                <w:noProof/>
                <w:sz w:val="20"/>
                <w:szCs w:val="20"/>
                <w:lang w:val="en-US"/>
              </w:rPr>
              <w:t>Top management MS commitment</w:t>
            </w:r>
          </w:p>
        </w:tc>
        <w:tc>
          <w:tcPr>
            <w:tcW w:w="4050" w:type="dxa"/>
          </w:tcPr>
          <w:p w:rsidR="005E3670" w:rsidRPr="00CF30B3" w:rsidRDefault="005E3670"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5E3670" w:rsidRPr="00496F78" w:rsidTr="00544B44">
        <w:trPr>
          <w:trHeight w:val="391"/>
        </w:trPr>
        <w:tc>
          <w:tcPr>
            <w:tcW w:w="378" w:type="dxa"/>
          </w:tcPr>
          <w:p w:rsidR="005E3670" w:rsidRPr="00CF30B3" w:rsidRDefault="005E3670" w:rsidP="00544B44">
            <w:pPr>
              <w:pStyle w:val="Paragraphedeliste"/>
              <w:numPr>
                <w:ilvl w:val="0"/>
                <w:numId w:val="2"/>
              </w:numPr>
              <w:spacing w:after="0" w:line="240" w:lineRule="auto"/>
              <w:ind w:left="-90" w:right="-108" w:firstLine="0"/>
              <w:contextualSpacing w:val="0"/>
              <w:rPr>
                <w:rFonts w:ascii="Times New Roman" w:hAnsi="Times New Roman"/>
                <w:noProof/>
                <w:sz w:val="20"/>
                <w:szCs w:val="20"/>
              </w:rPr>
            </w:pPr>
          </w:p>
        </w:tc>
        <w:tc>
          <w:tcPr>
            <w:tcW w:w="4770" w:type="dxa"/>
          </w:tcPr>
          <w:p w:rsidR="005E3670" w:rsidRPr="00CF30B3" w:rsidRDefault="005E3670" w:rsidP="00544B44">
            <w:pPr>
              <w:rPr>
                <w:rFonts w:ascii="Times New Roman" w:hAnsi="Times New Roman" w:cs="Times New Roman"/>
                <w:sz w:val="20"/>
                <w:szCs w:val="20"/>
              </w:rPr>
            </w:pPr>
            <w:r w:rsidRPr="00CF30B3">
              <w:rPr>
                <w:rFonts w:ascii="Times New Roman" w:hAnsi="Times New Roman" w:cs="Times New Roman"/>
                <w:noProof/>
                <w:sz w:val="20"/>
                <w:szCs w:val="20"/>
                <w:lang w:val="en-US"/>
              </w:rPr>
              <w:t>Top management MS engagement</w:t>
            </w:r>
          </w:p>
        </w:tc>
        <w:tc>
          <w:tcPr>
            <w:tcW w:w="4050" w:type="dxa"/>
          </w:tcPr>
          <w:p w:rsidR="005E3670" w:rsidRPr="00CF30B3" w:rsidRDefault="00BA28BF" w:rsidP="00544B44">
            <w:pPr>
              <w:rPr>
                <w:rFonts w:ascii="Times New Roman" w:hAnsi="Times New Roman" w:cs="Times New Roman"/>
                <w:noProof/>
                <w:sz w:val="20"/>
                <w:szCs w:val="20"/>
                <w:lang w:val="en-US"/>
              </w:rPr>
            </w:pPr>
            <w:r w:rsidRPr="00CF30B3">
              <w:rPr>
                <w:rFonts w:ascii="Times New Roman" w:hAnsi="Times New Roman" w:cs="Times New Roman"/>
                <w:sz w:val="20"/>
                <w:szCs w:val="20"/>
                <w:lang w:val="en-US"/>
              </w:rPr>
              <w:t xml:space="preserve">Gianni &amp; Gotzamani (2015); Savino &amp; Batbaatar (2015); </w:t>
            </w:r>
            <w:r w:rsidRPr="00CF30B3">
              <w:rPr>
                <w:rFonts w:ascii="Times New Roman" w:hAnsi="Times New Roman" w:cs="Times New Roman"/>
                <w:noProof/>
                <w:sz w:val="20"/>
                <w:szCs w:val="20"/>
                <w:lang w:val="en-US"/>
              </w:rPr>
              <w:t>Simon &amp; Bernardo (2014)</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contextualSpacing w:val="0"/>
              <w:rPr>
                <w:rFonts w:ascii="Times New Roman" w:hAnsi="Times New Roman"/>
                <w:noProof/>
                <w:sz w:val="20"/>
                <w:szCs w:val="20"/>
              </w:rPr>
            </w:pPr>
          </w:p>
        </w:tc>
        <w:tc>
          <w:tcPr>
            <w:tcW w:w="4770" w:type="dxa"/>
          </w:tcPr>
          <w:p w:rsidR="005E3670" w:rsidRPr="00CF30B3" w:rsidRDefault="005E3670" w:rsidP="00544B44">
            <w:pPr>
              <w:rPr>
                <w:rFonts w:ascii="Times New Roman" w:hAnsi="Times New Roman" w:cs="Times New Roman"/>
                <w:sz w:val="20"/>
                <w:szCs w:val="20"/>
              </w:rPr>
            </w:pPr>
            <w:r w:rsidRPr="00CF30B3">
              <w:rPr>
                <w:rFonts w:ascii="Times New Roman" w:hAnsi="Times New Roman" w:cs="Times New Roman"/>
                <w:noProof/>
                <w:sz w:val="20"/>
                <w:szCs w:val="20"/>
                <w:lang w:val="en-US"/>
              </w:rPr>
              <w:t>Top management MS assessment</w:t>
            </w:r>
          </w:p>
        </w:tc>
        <w:tc>
          <w:tcPr>
            <w:tcW w:w="4050" w:type="dxa"/>
          </w:tcPr>
          <w:p w:rsidR="005E3670" w:rsidRPr="00CF30B3" w:rsidRDefault="00F64569" w:rsidP="00544B44">
            <w:pPr>
              <w:rPr>
                <w:rFonts w:ascii="Times New Roman" w:hAnsi="Times New Roman" w:cs="Times New Roman"/>
                <w:noProof/>
                <w:sz w:val="20"/>
                <w:szCs w:val="20"/>
                <w:lang w:val="en-US"/>
              </w:rPr>
            </w:pPr>
            <w:r w:rsidRPr="00CF30B3">
              <w:rPr>
                <w:rFonts w:ascii="Times New Roman" w:hAnsi="Times New Roman" w:cs="Times New Roman"/>
                <w:noProof/>
                <w:sz w:val="20"/>
                <w:szCs w:val="20"/>
                <w:lang w:val="en-US"/>
              </w:rPr>
              <w:t>Garengo &amp; Biazzo (2013)</w:t>
            </w:r>
          </w:p>
        </w:tc>
      </w:tr>
      <w:tr w:rsidR="00E97CA7" w:rsidRPr="00CF30B3" w:rsidTr="00544B44">
        <w:tc>
          <w:tcPr>
            <w:tcW w:w="378" w:type="dxa"/>
          </w:tcPr>
          <w:p w:rsidR="00E97CA7" w:rsidRPr="00CF30B3" w:rsidRDefault="00E97CA7" w:rsidP="00544B44">
            <w:pPr>
              <w:pStyle w:val="Paragraphedeliste"/>
              <w:numPr>
                <w:ilvl w:val="0"/>
                <w:numId w:val="2"/>
              </w:numPr>
              <w:spacing w:after="0" w:line="240" w:lineRule="auto"/>
              <w:ind w:left="-90" w:right="-108" w:firstLine="0"/>
              <w:contextualSpacing w:val="0"/>
              <w:rPr>
                <w:rFonts w:ascii="Times New Roman" w:hAnsi="Times New Roman"/>
                <w:sz w:val="20"/>
                <w:szCs w:val="20"/>
              </w:rPr>
            </w:pPr>
          </w:p>
        </w:tc>
        <w:tc>
          <w:tcPr>
            <w:tcW w:w="4770" w:type="dxa"/>
          </w:tcPr>
          <w:p w:rsidR="00E97CA7" w:rsidRPr="00CF30B3" w:rsidRDefault="00E97CA7"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MS operation subcontracting</w:t>
            </w:r>
          </w:p>
        </w:tc>
        <w:tc>
          <w:tcPr>
            <w:tcW w:w="4050" w:type="dxa"/>
          </w:tcPr>
          <w:p w:rsidR="00E97CA7" w:rsidRPr="00CF30B3" w:rsidRDefault="00E97CA7" w:rsidP="00544B44">
            <w:pPr>
              <w:rPr>
                <w:rFonts w:ascii="Times New Roman" w:hAnsi="Times New Roman" w:cs="Times New Roman"/>
                <w:sz w:val="20"/>
                <w:szCs w:val="20"/>
              </w:rPr>
            </w:pPr>
            <w:r w:rsidRPr="00CF30B3">
              <w:rPr>
                <w:rFonts w:ascii="Times New Roman" w:hAnsi="Times New Roman" w:cs="Times New Roman"/>
                <w:sz w:val="20"/>
                <w:szCs w:val="20"/>
                <w:lang w:val="en-US"/>
              </w:rPr>
              <w:t>Bourlakis et al. (2014); Gianni et al. (2017b); Gotzamani et al. (2010)</w:t>
            </w:r>
          </w:p>
        </w:tc>
      </w:tr>
      <w:tr w:rsidR="00E97CA7" w:rsidRPr="00CF30B3" w:rsidTr="00544B44">
        <w:tc>
          <w:tcPr>
            <w:tcW w:w="378" w:type="dxa"/>
          </w:tcPr>
          <w:p w:rsidR="00E97CA7" w:rsidRPr="00CF30B3" w:rsidRDefault="00E97CA7" w:rsidP="00544B44">
            <w:pPr>
              <w:pStyle w:val="Paragraphedeliste"/>
              <w:numPr>
                <w:ilvl w:val="0"/>
                <w:numId w:val="2"/>
              </w:numPr>
              <w:spacing w:after="0" w:line="240" w:lineRule="auto"/>
              <w:ind w:left="-90" w:right="-108" w:firstLine="0"/>
              <w:contextualSpacing w:val="0"/>
              <w:rPr>
                <w:rFonts w:ascii="Times New Roman" w:hAnsi="Times New Roman"/>
                <w:sz w:val="20"/>
                <w:szCs w:val="20"/>
              </w:rPr>
            </w:pPr>
          </w:p>
        </w:tc>
        <w:tc>
          <w:tcPr>
            <w:tcW w:w="4770" w:type="dxa"/>
          </w:tcPr>
          <w:p w:rsidR="00E97CA7" w:rsidRPr="00CF30B3" w:rsidRDefault="00E97CA7"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Internal audits subcontracting</w:t>
            </w:r>
          </w:p>
        </w:tc>
        <w:tc>
          <w:tcPr>
            <w:tcW w:w="4050" w:type="dxa"/>
          </w:tcPr>
          <w:p w:rsidR="00E97CA7" w:rsidRPr="00CF30B3" w:rsidRDefault="00E97CA7" w:rsidP="00544B44">
            <w:pPr>
              <w:rPr>
                <w:rFonts w:ascii="Times New Roman" w:hAnsi="Times New Roman" w:cs="Times New Roman"/>
                <w:sz w:val="20"/>
                <w:szCs w:val="20"/>
              </w:rPr>
            </w:pPr>
            <w:r w:rsidRPr="00CF30B3">
              <w:rPr>
                <w:rFonts w:ascii="Times New Roman" w:hAnsi="Times New Roman" w:cs="Times New Roman"/>
                <w:sz w:val="20"/>
                <w:szCs w:val="20"/>
                <w:lang w:val="en-US"/>
              </w:rPr>
              <w:t>Bourlakis et al. (2014); Gianni et al. (2017b); Gotzamani et al. (2010)</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contextualSpacing w:val="0"/>
              <w:rPr>
                <w:rFonts w:ascii="Times New Roman" w:hAnsi="Times New Roman"/>
                <w:sz w:val="20"/>
                <w:szCs w:val="20"/>
              </w:rPr>
            </w:pPr>
          </w:p>
        </w:tc>
        <w:tc>
          <w:tcPr>
            <w:tcW w:w="4770" w:type="dxa"/>
          </w:tcPr>
          <w:p w:rsidR="005E3670" w:rsidRPr="00CF30B3" w:rsidRDefault="005E3670"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Documentation for external audits subcontracting</w:t>
            </w:r>
          </w:p>
        </w:tc>
        <w:tc>
          <w:tcPr>
            <w:tcW w:w="4050" w:type="dxa"/>
          </w:tcPr>
          <w:p w:rsidR="005E3670" w:rsidRPr="00CF30B3" w:rsidRDefault="00E97CA7" w:rsidP="00544B44">
            <w:pPr>
              <w:ind w:left="-18" w:right="-72"/>
              <w:rPr>
                <w:rFonts w:ascii="Times New Roman" w:hAnsi="Times New Roman" w:cs="Times New Roman"/>
                <w:sz w:val="20"/>
                <w:szCs w:val="20"/>
                <w:lang w:val="en-US"/>
              </w:rPr>
            </w:pPr>
            <w:r w:rsidRPr="00CF30B3">
              <w:rPr>
                <w:rFonts w:ascii="Times New Roman" w:hAnsi="Times New Roman" w:cs="Times New Roman"/>
                <w:sz w:val="20"/>
                <w:szCs w:val="20"/>
                <w:lang w:val="en-US"/>
              </w:rPr>
              <w:t>Bourlakis et al. (2014); Gianni et al. (2017b); Gotzamani et al. (2010)</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5E3670" w:rsidRPr="00CF30B3" w:rsidRDefault="005E3670" w:rsidP="00544B44">
            <w:pPr>
              <w:ind w:left="-72" w:right="-58"/>
              <w:rPr>
                <w:rFonts w:ascii="Times New Roman" w:hAnsi="Times New Roman" w:cs="Times New Roman"/>
                <w:sz w:val="20"/>
                <w:szCs w:val="20"/>
              </w:rPr>
            </w:pPr>
            <w:r w:rsidRPr="00CF30B3">
              <w:rPr>
                <w:rFonts w:ascii="Times New Roman" w:hAnsi="Times New Roman" w:cs="Times New Roman"/>
                <w:sz w:val="20"/>
                <w:szCs w:val="20"/>
                <w:lang w:val="en-US"/>
              </w:rPr>
              <w:t>MS policies</w:t>
            </w:r>
            <w:r w:rsidRPr="00CF30B3">
              <w:rPr>
                <w:rFonts w:ascii="Times New Roman" w:hAnsi="Times New Roman" w:cs="Times New Roman"/>
                <w:sz w:val="20"/>
                <w:szCs w:val="20"/>
              </w:rPr>
              <w:t xml:space="preserve"> </w:t>
            </w:r>
            <w:r w:rsidRPr="00CF30B3">
              <w:rPr>
                <w:rFonts w:ascii="Times New Roman" w:hAnsi="Times New Roman" w:cs="Times New Roman"/>
                <w:sz w:val="20"/>
                <w:szCs w:val="20"/>
                <w:lang w:val="en-US"/>
              </w:rPr>
              <w:t>and</w:t>
            </w:r>
            <w:r w:rsidRPr="00CF30B3">
              <w:rPr>
                <w:rFonts w:ascii="Times New Roman" w:hAnsi="Times New Roman" w:cs="Times New Roman"/>
                <w:sz w:val="20"/>
                <w:szCs w:val="20"/>
              </w:rPr>
              <w:t xml:space="preserve"> </w:t>
            </w:r>
            <w:r w:rsidRPr="00CF30B3">
              <w:rPr>
                <w:rFonts w:ascii="Times New Roman" w:hAnsi="Times New Roman" w:cs="Times New Roman"/>
                <w:sz w:val="20"/>
                <w:szCs w:val="20"/>
                <w:lang w:val="en-US"/>
              </w:rPr>
              <w:t>objectives</w:t>
            </w:r>
            <w:r w:rsidRPr="00CF30B3">
              <w:rPr>
                <w:rFonts w:ascii="Times New Roman" w:hAnsi="Times New Roman" w:cs="Times New Roman"/>
                <w:sz w:val="20"/>
                <w:szCs w:val="20"/>
              </w:rPr>
              <w:t xml:space="preserve"> </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GB"/>
              </w:rPr>
              <w:t>Asif et al. (2010), Simon et al. (2012b)</w:t>
            </w:r>
          </w:p>
        </w:tc>
      </w:tr>
      <w:tr w:rsidR="005E3670" w:rsidRPr="00496F78" w:rsidTr="00544B44">
        <w:tc>
          <w:tcPr>
            <w:tcW w:w="378" w:type="dxa"/>
            <w:shd w:val="clear" w:color="auto" w:fill="auto"/>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shd w:val="clear" w:color="auto" w:fill="auto"/>
          </w:tcPr>
          <w:p w:rsidR="005E3670" w:rsidRPr="00CF30B3" w:rsidRDefault="005E3670" w:rsidP="00544B44">
            <w:pPr>
              <w:ind w:left="-72" w:right="-58"/>
              <w:rPr>
                <w:rFonts w:ascii="Times New Roman" w:hAnsi="Times New Roman" w:cs="Times New Roman"/>
                <w:i/>
                <w:sz w:val="20"/>
                <w:szCs w:val="20"/>
                <w:lang w:val="en-US"/>
              </w:rPr>
            </w:pPr>
            <w:r w:rsidRPr="00CF30B3">
              <w:rPr>
                <w:rFonts w:ascii="Times New Roman" w:hAnsi="Times New Roman" w:cs="Times New Roman"/>
                <w:sz w:val="20"/>
                <w:szCs w:val="20"/>
                <w:lang w:val="en-US"/>
              </w:rPr>
              <w:t>MS planning based on common standard</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GB"/>
              </w:rPr>
              <w:t xml:space="preserve">Simon and Bernardo (2014), </w:t>
            </w:r>
            <w:r w:rsidRPr="00CF30B3">
              <w:rPr>
                <w:rFonts w:ascii="Times New Roman" w:hAnsi="Times New Roman" w:cs="Times New Roman"/>
                <w:sz w:val="20"/>
                <w:szCs w:val="20"/>
                <w:lang w:val="en-US"/>
              </w:rPr>
              <w:t>Von Ahsen (2013)</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MS operation by a single person or department</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GB"/>
              </w:rPr>
              <w:t>Simon and Bernardo (2014)</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MS performance is evaluated in a unified mode.</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Abad et al. (2014)</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MS preventive and corrective actions are performed in a unified mode.</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Abad et al. (2014), Simon et al. (2012a)</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b/>
                <w:sz w:val="20"/>
                <w:szCs w:val="20"/>
                <w:lang w:val="en-US"/>
              </w:rPr>
            </w:pPr>
            <w:r w:rsidRPr="00CF30B3">
              <w:rPr>
                <w:rFonts w:ascii="Times New Roman" w:hAnsi="Times New Roman" w:cs="Times New Roman"/>
                <w:sz w:val="20"/>
                <w:szCs w:val="20"/>
                <w:lang w:val="en-US"/>
              </w:rPr>
              <w:t>MS non-compliance is monitored in a unified mode.</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Abad et al. (2014), Simon et al. (2012a)</w:t>
            </w:r>
          </w:p>
        </w:tc>
      </w:tr>
      <w:tr w:rsidR="005E3670" w:rsidRPr="00496F78"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MS documents and records control are monitored in a unified mode.</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GB"/>
              </w:rPr>
              <w:t xml:space="preserve">Simon and Bernardo (2014), </w:t>
            </w:r>
            <w:r w:rsidRPr="00CF30B3">
              <w:rPr>
                <w:rFonts w:ascii="Times New Roman" w:hAnsi="Times New Roman" w:cs="Times New Roman"/>
                <w:sz w:val="20"/>
                <w:szCs w:val="20"/>
                <w:lang w:val="en-US"/>
              </w:rPr>
              <w:t>Von Ahsen (2013)</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Product design and development are supported by multiple MSs in a unified mode.</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Abad et al. (2014), Simon et al. (2012a)</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Production is supported by multiple MSs in a unified mode.</w:t>
            </w:r>
          </w:p>
        </w:tc>
        <w:tc>
          <w:tcPr>
            <w:tcW w:w="4050" w:type="dxa"/>
          </w:tcPr>
          <w:p w:rsidR="005E3670" w:rsidRPr="00CF30B3" w:rsidRDefault="005E3670" w:rsidP="00544B44">
            <w:pPr>
              <w:ind w:left="-72" w:right="-72"/>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Training is supported by multiple MSs in a unified mode.</w:t>
            </w:r>
          </w:p>
        </w:tc>
        <w:tc>
          <w:tcPr>
            <w:tcW w:w="4050" w:type="dxa"/>
          </w:tcPr>
          <w:p w:rsidR="005E3670" w:rsidRPr="00CF30B3" w:rsidRDefault="00BF6BD7"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rPr>
              <w:t>Tarí &amp; Molina-Azorín (2010)</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Purchasing is supported by multiple MSs in a unified mode.</w:t>
            </w:r>
          </w:p>
        </w:tc>
        <w:tc>
          <w:tcPr>
            <w:tcW w:w="4050" w:type="dxa"/>
          </w:tcPr>
          <w:p w:rsidR="005E3670" w:rsidRPr="00CF30B3" w:rsidRDefault="005E3670" w:rsidP="00544B44">
            <w:pPr>
              <w:ind w:left="-72" w:right="-72"/>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Sales are supported by multiple MSs in a unified mode.</w:t>
            </w:r>
          </w:p>
        </w:tc>
        <w:tc>
          <w:tcPr>
            <w:tcW w:w="4050" w:type="dxa"/>
          </w:tcPr>
          <w:p w:rsidR="005E3670" w:rsidRPr="00CF30B3" w:rsidRDefault="00BF6BD7"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Savino &amp; Batbaatar (2015)</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Internal audits are simultaneously conducted in a unified mode.</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Abad et al. (2014); von Ahsen (2013); Savino &amp; Batbaatar (2015); Simon et al. (2011)</w:t>
            </w:r>
          </w:p>
        </w:tc>
      </w:tr>
      <w:tr w:rsidR="005E3670" w:rsidRPr="00CF30B3" w:rsidTr="00544B44">
        <w:tc>
          <w:tcPr>
            <w:tcW w:w="378" w:type="dxa"/>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External audits are simultaneously conducted in a unified mode</w:t>
            </w:r>
          </w:p>
        </w:tc>
        <w:tc>
          <w:tcPr>
            <w:tcW w:w="4050" w:type="dxa"/>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 xml:space="preserve">Abad et al. (2014), </w:t>
            </w:r>
            <w:r w:rsidR="004A1FD8">
              <w:rPr>
                <w:rFonts w:ascii="Times New Roman" w:hAnsi="Times New Roman" w:cs="Times New Roman"/>
                <w:sz w:val="20"/>
                <w:szCs w:val="20"/>
                <w:lang w:val="en-US"/>
              </w:rPr>
              <w:t>von Ahsen (2013), Simon et al. (</w:t>
            </w:r>
            <w:r w:rsidRPr="00CF30B3">
              <w:rPr>
                <w:rFonts w:ascii="Times New Roman" w:hAnsi="Times New Roman" w:cs="Times New Roman"/>
                <w:sz w:val="20"/>
                <w:szCs w:val="20"/>
                <w:lang w:val="en-US"/>
              </w:rPr>
              <w:t>2011</w:t>
            </w:r>
            <w:r w:rsidR="004A1FD8">
              <w:rPr>
                <w:rFonts w:ascii="Times New Roman" w:hAnsi="Times New Roman" w:cs="Times New Roman"/>
                <w:sz w:val="20"/>
                <w:szCs w:val="20"/>
                <w:lang w:val="en-US"/>
              </w:rPr>
              <w:t>)</w:t>
            </w:r>
          </w:p>
        </w:tc>
      </w:tr>
      <w:tr w:rsidR="005E3670" w:rsidRPr="00CF30B3" w:rsidTr="00544B44">
        <w:tc>
          <w:tcPr>
            <w:tcW w:w="378" w:type="dxa"/>
            <w:shd w:val="clear" w:color="auto" w:fill="auto"/>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shd w:val="clear" w:color="auto" w:fill="auto"/>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A single, unified report is issued for MSs internal audits.</w:t>
            </w:r>
          </w:p>
        </w:tc>
        <w:tc>
          <w:tcPr>
            <w:tcW w:w="4050" w:type="dxa"/>
          </w:tcPr>
          <w:p w:rsidR="005E3670" w:rsidRPr="00CF30B3" w:rsidRDefault="004A1FD8" w:rsidP="00544B44">
            <w:pPr>
              <w:ind w:left="-72" w:right="-58"/>
              <w:rPr>
                <w:rFonts w:ascii="Times New Roman" w:hAnsi="Times New Roman" w:cs="Times New Roman"/>
                <w:sz w:val="20"/>
                <w:szCs w:val="20"/>
                <w:lang w:val="en-US"/>
              </w:rPr>
            </w:pPr>
            <w:r>
              <w:rPr>
                <w:rFonts w:ascii="Times New Roman" w:hAnsi="Times New Roman" w:cs="Times New Roman"/>
                <w:sz w:val="20"/>
                <w:szCs w:val="20"/>
                <w:lang w:val="en-US"/>
              </w:rPr>
              <w:t>Simon et al. (</w:t>
            </w:r>
            <w:r w:rsidR="005E3670" w:rsidRPr="00CF30B3">
              <w:rPr>
                <w:rFonts w:ascii="Times New Roman" w:hAnsi="Times New Roman" w:cs="Times New Roman"/>
                <w:sz w:val="20"/>
                <w:szCs w:val="20"/>
                <w:lang w:val="en-US"/>
              </w:rPr>
              <w:t>2011</w:t>
            </w:r>
            <w:r>
              <w:rPr>
                <w:rFonts w:ascii="Times New Roman" w:hAnsi="Times New Roman" w:cs="Times New Roman"/>
                <w:sz w:val="20"/>
                <w:szCs w:val="20"/>
                <w:lang w:val="en-US"/>
              </w:rPr>
              <w:t>)</w:t>
            </w:r>
          </w:p>
        </w:tc>
      </w:tr>
      <w:tr w:rsidR="005E3670" w:rsidRPr="00CF30B3" w:rsidTr="00544B44">
        <w:tc>
          <w:tcPr>
            <w:tcW w:w="378" w:type="dxa"/>
            <w:shd w:val="clear" w:color="auto" w:fill="auto"/>
          </w:tcPr>
          <w:p w:rsidR="005E3670" w:rsidRPr="00CF30B3" w:rsidRDefault="005E3670"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shd w:val="clear" w:color="auto" w:fill="auto"/>
          </w:tcPr>
          <w:p w:rsidR="005E3670" w:rsidRPr="00CF30B3" w:rsidRDefault="005E3670" w:rsidP="00544B44">
            <w:pPr>
              <w:ind w:left="-72" w:right="-58"/>
              <w:rPr>
                <w:rFonts w:ascii="Times New Roman" w:hAnsi="Times New Roman" w:cs="Times New Roman"/>
                <w:sz w:val="20"/>
                <w:szCs w:val="20"/>
                <w:lang w:val="en-US"/>
              </w:rPr>
            </w:pPr>
            <w:r w:rsidRPr="00CF30B3">
              <w:rPr>
                <w:rFonts w:ascii="Times New Roman" w:hAnsi="Times New Roman" w:cs="Times New Roman"/>
                <w:sz w:val="20"/>
                <w:szCs w:val="20"/>
                <w:lang w:val="en-US"/>
              </w:rPr>
              <w:t>A single, unified report is issued for MSs external audits.</w:t>
            </w:r>
          </w:p>
        </w:tc>
        <w:tc>
          <w:tcPr>
            <w:tcW w:w="4050" w:type="dxa"/>
          </w:tcPr>
          <w:p w:rsidR="005E3670" w:rsidRPr="00CF30B3" w:rsidRDefault="004A1FD8" w:rsidP="00544B44">
            <w:pPr>
              <w:ind w:left="-72" w:right="-58"/>
              <w:rPr>
                <w:rFonts w:ascii="Times New Roman" w:hAnsi="Times New Roman" w:cs="Times New Roman"/>
                <w:sz w:val="20"/>
                <w:szCs w:val="20"/>
                <w:lang w:val="en-US"/>
              </w:rPr>
            </w:pPr>
            <w:r>
              <w:rPr>
                <w:rFonts w:ascii="Times New Roman" w:hAnsi="Times New Roman" w:cs="Times New Roman"/>
                <w:sz w:val="20"/>
                <w:szCs w:val="20"/>
                <w:lang w:val="en-US"/>
              </w:rPr>
              <w:t>Simon et al. (</w:t>
            </w:r>
            <w:r w:rsidR="005E3670" w:rsidRPr="00CF30B3">
              <w:rPr>
                <w:rFonts w:ascii="Times New Roman" w:hAnsi="Times New Roman" w:cs="Times New Roman"/>
                <w:sz w:val="20"/>
                <w:szCs w:val="20"/>
                <w:lang w:val="en-US"/>
              </w:rPr>
              <w:t>2011</w:t>
            </w:r>
            <w:r>
              <w:rPr>
                <w:rFonts w:ascii="Times New Roman" w:hAnsi="Times New Roman" w:cs="Times New Roman"/>
                <w:sz w:val="20"/>
                <w:szCs w:val="20"/>
                <w:lang w:val="en-US"/>
              </w:rPr>
              <w:t>)</w:t>
            </w:r>
          </w:p>
        </w:tc>
      </w:tr>
    </w:tbl>
    <w:p w:rsidR="009517AF" w:rsidRDefault="009517AF" w:rsidP="004A6692">
      <w:pPr>
        <w:spacing w:after="120" w:line="23" w:lineRule="atLeast"/>
        <w:rPr>
          <w:rFonts w:ascii="Times New Roman" w:hAnsi="Times New Roman" w:cs="Times New Roman"/>
          <w:b/>
          <w:lang w:val="en-US"/>
        </w:rPr>
      </w:pPr>
    </w:p>
    <w:p w:rsidR="004A6692" w:rsidRPr="008751F4" w:rsidRDefault="00917B0E" w:rsidP="004A6692">
      <w:pPr>
        <w:spacing w:after="120" w:line="23" w:lineRule="atLeast"/>
        <w:rPr>
          <w:rFonts w:ascii="Times New Roman" w:hAnsi="Times New Roman" w:cs="Times New Roman"/>
          <w:b/>
          <w:lang w:val="en-US"/>
        </w:rPr>
      </w:pPr>
      <w:r w:rsidRPr="008751F4">
        <w:rPr>
          <w:rFonts w:ascii="Times New Roman" w:hAnsi="Times New Roman" w:cs="Times New Roman"/>
          <w:b/>
          <w:lang w:val="en-US"/>
        </w:rPr>
        <w:t>Corporate Sustainability Performance</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4770"/>
        <w:gridCol w:w="4050"/>
      </w:tblGrid>
      <w:tr w:rsidR="00917B0E" w:rsidRPr="001E748D" w:rsidTr="00544B44">
        <w:trPr>
          <w:tblHeader/>
        </w:trPr>
        <w:tc>
          <w:tcPr>
            <w:tcW w:w="360" w:type="dxa"/>
          </w:tcPr>
          <w:p w:rsidR="00917B0E" w:rsidRPr="001E748D" w:rsidRDefault="00917B0E" w:rsidP="00544B44">
            <w:pPr>
              <w:ind w:left="-86" w:right="-115"/>
              <w:rPr>
                <w:rFonts w:ascii="Times New Roman" w:hAnsi="Times New Roman" w:cs="Times New Roman"/>
                <w:b/>
                <w:sz w:val="20"/>
                <w:szCs w:val="20"/>
              </w:rPr>
            </w:pPr>
          </w:p>
        </w:tc>
        <w:tc>
          <w:tcPr>
            <w:tcW w:w="4770" w:type="dxa"/>
          </w:tcPr>
          <w:p w:rsidR="00917B0E" w:rsidRPr="001E748D" w:rsidRDefault="00917B0E" w:rsidP="00544B44">
            <w:pPr>
              <w:ind w:left="-18" w:right="-72"/>
              <w:rPr>
                <w:rFonts w:ascii="Times New Roman" w:hAnsi="Times New Roman" w:cs="Times New Roman"/>
                <w:b/>
                <w:sz w:val="20"/>
                <w:szCs w:val="20"/>
                <w:lang w:val="en-US"/>
              </w:rPr>
            </w:pPr>
            <w:r w:rsidRPr="001E748D">
              <w:rPr>
                <w:rFonts w:ascii="Times New Roman" w:hAnsi="Times New Roman" w:cs="Times New Roman"/>
                <w:b/>
                <w:sz w:val="20"/>
                <w:szCs w:val="20"/>
                <w:lang w:val="en-US"/>
              </w:rPr>
              <w:t>Items</w:t>
            </w:r>
          </w:p>
        </w:tc>
        <w:tc>
          <w:tcPr>
            <w:tcW w:w="4050" w:type="dxa"/>
          </w:tcPr>
          <w:p w:rsidR="00917B0E" w:rsidRPr="001E748D" w:rsidRDefault="00917B0E" w:rsidP="00544B44">
            <w:pPr>
              <w:ind w:left="-18" w:right="-72"/>
              <w:rPr>
                <w:rFonts w:ascii="Times New Roman" w:hAnsi="Times New Roman" w:cs="Times New Roman"/>
                <w:b/>
                <w:sz w:val="20"/>
                <w:szCs w:val="20"/>
                <w:lang w:val="en-US"/>
              </w:rPr>
            </w:pPr>
            <w:r w:rsidRPr="001E748D">
              <w:rPr>
                <w:rFonts w:ascii="Times New Roman" w:hAnsi="Times New Roman" w:cs="Times New Roman"/>
                <w:b/>
                <w:sz w:val="20"/>
                <w:szCs w:val="20"/>
                <w:lang w:val="en-US"/>
              </w:rPr>
              <w:t>Pertinent literature</w:t>
            </w:r>
          </w:p>
        </w:tc>
      </w:tr>
      <w:tr w:rsidR="00917B0E" w:rsidRPr="001E748D" w:rsidTr="00544B44">
        <w:tc>
          <w:tcPr>
            <w:tcW w:w="360" w:type="dxa"/>
          </w:tcPr>
          <w:p w:rsidR="00917B0E" w:rsidRPr="001E748D" w:rsidRDefault="00917B0E"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917B0E" w:rsidRPr="001E748D" w:rsidRDefault="00917B0E"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Nonconforming raw materials rate has decreased.</w:t>
            </w:r>
          </w:p>
        </w:tc>
        <w:tc>
          <w:tcPr>
            <w:tcW w:w="4050" w:type="dxa"/>
          </w:tcPr>
          <w:p w:rsidR="00917B0E"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rPr>
              <w:t xml:space="preserve">Tarí &amp; Molina-Azorín (2010); </w:t>
            </w:r>
            <w:r w:rsidR="00917B0E" w:rsidRPr="001E748D">
              <w:rPr>
                <w:rFonts w:ascii="Times New Roman" w:hAnsi="Times New Roman" w:cs="Times New Roman"/>
                <w:sz w:val="20"/>
                <w:szCs w:val="20"/>
                <w:lang w:val="en-US"/>
              </w:rPr>
              <w:t>Wagner (2015)</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shd w:val="clear" w:color="auto" w:fill="auto"/>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Nonconforming products rate has decreased.</w:t>
            </w:r>
          </w:p>
        </w:tc>
        <w:tc>
          <w:tcPr>
            <w:tcW w:w="4050" w:type="dxa"/>
          </w:tcPr>
          <w:p w:rsidR="00A629E5" w:rsidRPr="001E748D" w:rsidRDefault="00BF6BD7" w:rsidP="00544B44">
            <w:pPr>
              <w:rPr>
                <w:rFonts w:ascii="Times New Roman" w:hAnsi="Times New Roman" w:cs="Times New Roman"/>
                <w:sz w:val="20"/>
                <w:szCs w:val="20"/>
              </w:rPr>
            </w:pPr>
            <w:r w:rsidRPr="001E748D">
              <w:rPr>
                <w:rFonts w:ascii="Times New Roman" w:hAnsi="Times New Roman" w:cs="Times New Roman"/>
                <w:sz w:val="20"/>
                <w:szCs w:val="20"/>
              </w:rPr>
              <w:t>Tarí &amp;</w:t>
            </w:r>
            <w:r w:rsidR="00A629E5" w:rsidRPr="001E748D">
              <w:rPr>
                <w:rFonts w:ascii="Times New Roman" w:hAnsi="Times New Roman" w:cs="Times New Roman"/>
                <w:sz w:val="20"/>
                <w:szCs w:val="20"/>
              </w:rPr>
              <w:t xml:space="preserve"> Molina-Azorín (2010)</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Relationships with suppliers have improved.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Wagner (2015)</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Suppliers’ turnover rate has decreased.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Garengo and Biazzo (2013)</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Purchasing management has improved.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Wagner (2011)</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Customer complaint rate has decreased.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rPr>
              <w:t xml:space="preserve">Bou-Llusar </w:t>
            </w:r>
            <w:r w:rsidRPr="001E748D">
              <w:rPr>
                <w:rFonts w:ascii="Times New Roman" w:hAnsi="Times New Roman" w:cs="Times New Roman"/>
                <w:i/>
                <w:sz w:val="20"/>
                <w:szCs w:val="20"/>
              </w:rPr>
              <w:t>et al</w:t>
            </w:r>
            <w:r w:rsidRPr="001E748D">
              <w:rPr>
                <w:rFonts w:ascii="Times New Roman" w:hAnsi="Times New Roman" w:cs="Times New Roman"/>
                <w:sz w:val="20"/>
                <w:szCs w:val="20"/>
              </w:rPr>
              <w:t xml:space="preserve">. (2009); </w:t>
            </w:r>
            <w:r w:rsidRPr="001E748D">
              <w:rPr>
                <w:rFonts w:ascii="Times New Roman" w:eastAsia="TimesNewRoman" w:hAnsi="Times New Roman" w:cs="Times New Roman"/>
                <w:sz w:val="20"/>
                <w:szCs w:val="20"/>
              </w:rPr>
              <w:t xml:space="preserve">Maletič </w:t>
            </w:r>
            <w:r w:rsidRPr="001E748D">
              <w:rPr>
                <w:rFonts w:ascii="Times New Roman" w:eastAsia="TimesNewRoman" w:hAnsi="Times New Roman" w:cs="Times New Roman"/>
                <w:i/>
                <w:sz w:val="20"/>
                <w:szCs w:val="20"/>
              </w:rPr>
              <w:t>et al</w:t>
            </w:r>
            <w:r w:rsidRPr="001E748D">
              <w:rPr>
                <w:rFonts w:ascii="Times New Roman" w:eastAsia="TimesNewRoman" w:hAnsi="Times New Roman" w:cs="Times New Roman"/>
                <w:sz w:val="20"/>
                <w:szCs w:val="20"/>
              </w:rPr>
              <w:t>. (2015); Savino &amp; Shafiq (2018)</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Communication with customers has improved.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Simon et al. (2012b)</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rPr>
            </w:pPr>
            <w:r w:rsidRPr="001E748D">
              <w:rPr>
                <w:rFonts w:ascii="Times New Roman" w:hAnsi="Times New Roman" w:cs="Times New Roman"/>
                <w:sz w:val="20"/>
                <w:szCs w:val="20"/>
                <w:lang w:val="en-US"/>
              </w:rPr>
              <w:t>Market share has increased</w:t>
            </w:r>
            <w:r w:rsidRPr="001E748D">
              <w:rPr>
                <w:rFonts w:ascii="Times New Roman" w:hAnsi="Times New Roman" w:cs="Times New Roman"/>
                <w:sz w:val="20"/>
                <w:szCs w:val="20"/>
              </w:rPr>
              <w:t>.</w:t>
            </w:r>
          </w:p>
        </w:tc>
        <w:tc>
          <w:tcPr>
            <w:tcW w:w="4050" w:type="dxa"/>
          </w:tcPr>
          <w:p w:rsidR="00A629E5" w:rsidRPr="001E748D" w:rsidRDefault="00A629E5" w:rsidP="00544B44">
            <w:pPr>
              <w:ind w:right="-72"/>
              <w:rPr>
                <w:rFonts w:ascii="Times New Roman" w:hAnsi="Times New Roman" w:cs="Times New Roman"/>
                <w:sz w:val="20"/>
                <w:szCs w:val="20"/>
                <w:lang w:val="en-US"/>
              </w:rPr>
            </w:pPr>
            <w:r w:rsidRPr="00496F78">
              <w:rPr>
                <w:rFonts w:ascii="Times New Roman" w:hAnsi="Times New Roman" w:cs="Times New Roman"/>
                <w:sz w:val="20"/>
                <w:szCs w:val="20"/>
              </w:rPr>
              <w:t xml:space="preserve">Epstein &amp; Roy (2001); Luk et al. </w:t>
            </w:r>
            <w:r w:rsidRPr="001E748D">
              <w:rPr>
                <w:rFonts w:ascii="Times New Roman" w:hAnsi="Times New Roman" w:cs="Times New Roman"/>
                <w:sz w:val="20"/>
                <w:szCs w:val="20"/>
                <w:lang w:val="en-US"/>
              </w:rPr>
              <w:t>(2005); Wagner (2011)</w:t>
            </w:r>
          </w:p>
        </w:tc>
      </w:tr>
      <w:tr w:rsidR="00A629E5" w:rsidRPr="001E748D" w:rsidTr="00544B44">
        <w:tc>
          <w:tcPr>
            <w:tcW w:w="360" w:type="dxa"/>
            <w:shd w:val="clear" w:color="auto" w:fill="auto"/>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rPr>
            </w:pPr>
            <w:r w:rsidRPr="001E748D">
              <w:rPr>
                <w:rFonts w:ascii="Times New Roman" w:hAnsi="Times New Roman" w:cs="Times New Roman"/>
                <w:sz w:val="20"/>
                <w:szCs w:val="20"/>
                <w:lang w:val="en-US"/>
              </w:rPr>
              <w:t>Sales</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have</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increased</w:t>
            </w:r>
            <w:r w:rsidRPr="001E748D">
              <w:rPr>
                <w:rFonts w:ascii="Times New Roman" w:hAnsi="Times New Roman" w:cs="Times New Roman"/>
                <w:sz w:val="20"/>
                <w:szCs w:val="20"/>
              </w:rPr>
              <w:t>.</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Luk et al. (2005); Wagner (2011; 2015)</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A629E5" w:rsidRPr="001E748D" w:rsidRDefault="00A629E5" w:rsidP="00544B44">
            <w:pPr>
              <w:ind w:right="-72"/>
              <w:rPr>
                <w:rFonts w:ascii="Times New Roman" w:hAnsi="Times New Roman" w:cs="Times New Roman"/>
                <w:sz w:val="20"/>
                <w:szCs w:val="20"/>
              </w:rPr>
            </w:pPr>
            <w:r w:rsidRPr="001E748D">
              <w:rPr>
                <w:rFonts w:ascii="Times New Roman" w:hAnsi="Times New Roman" w:cs="Times New Roman"/>
                <w:sz w:val="20"/>
                <w:szCs w:val="20"/>
                <w:lang w:val="en-US"/>
              </w:rPr>
              <w:t>Earnings have increased</w:t>
            </w:r>
            <w:r w:rsidRPr="001E748D">
              <w:rPr>
                <w:rFonts w:ascii="Times New Roman" w:hAnsi="Times New Roman" w:cs="Times New Roman"/>
                <w:sz w:val="20"/>
                <w:szCs w:val="20"/>
              </w:rPr>
              <w:t>.</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Luk et al. (2005)</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shd w:val="clear" w:color="auto" w:fill="auto"/>
          </w:tcPr>
          <w:p w:rsidR="00A629E5" w:rsidRPr="001E748D" w:rsidRDefault="00A629E5" w:rsidP="00544B44">
            <w:pPr>
              <w:ind w:right="-72"/>
              <w:rPr>
                <w:rFonts w:ascii="Times New Roman" w:hAnsi="Times New Roman" w:cs="Times New Roman"/>
                <w:sz w:val="20"/>
                <w:szCs w:val="20"/>
              </w:rPr>
            </w:pPr>
            <w:r w:rsidRPr="001E748D">
              <w:rPr>
                <w:rFonts w:ascii="Times New Roman" w:hAnsi="Times New Roman" w:cs="Times New Roman"/>
                <w:sz w:val="20"/>
                <w:szCs w:val="20"/>
                <w:lang w:val="en-US"/>
              </w:rPr>
              <w:t>Interest rates</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have decreased</w:t>
            </w:r>
            <w:r w:rsidRPr="001E748D">
              <w:rPr>
                <w:rFonts w:ascii="Times New Roman" w:hAnsi="Times New Roman" w:cs="Times New Roman"/>
                <w:sz w:val="20"/>
                <w:szCs w:val="20"/>
              </w:rPr>
              <w:t>.</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Wagner (2011)</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Access to loans has improved.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Epstein &amp; Roy (2001); Wagner (2011)</w:t>
            </w:r>
          </w:p>
        </w:tc>
      </w:tr>
      <w:tr w:rsidR="00A629E5" w:rsidRPr="001E748D" w:rsidTr="00544B44">
        <w:tc>
          <w:tcPr>
            <w:tcW w:w="360" w:type="dxa"/>
            <w:shd w:val="clear" w:color="auto" w:fill="auto"/>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Insurance</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terms</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have</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improved</w:t>
            </w:r>
            <w:r w:rsidRPr="001E748D">
              <w:rPr>
                <w:rFonts w:ascii="Times New Roman" w:hAnsi="Times New Roman" w:cs="Times New Roman"/>
                <w:sz w:val="20"/>
                <w:szCs w:val="20"/>
              </w:rPr>
              <w:t>.</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Wagner (2011)</w:t>
            </w:r>
          </w:p>
        </w:tc>
      </w:tr>
      <w:tr w:rsidR="00A629E5" w:rsidRPr="001E748D" w:rsidTr="00544B44">
        <w:tc>
          <w:tcPr>
            <w:tcW w:w="360" w:type="dxa"/>
            <w:shd w:val="clear" w:color="auto" w:fill="auto"/>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Employee turnover rate has decreased.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rPr>
              <w:t xml:space="preserve">Bou-Llusar </w:t>
            </w:r>
            <w:r w:rsidRPr="001E748D">
              <w:rPr>
                <w:rFonts w:ascii="Times New Roman" w:hAnsi="Times New Roman" w:cs="Times New Roman"/>
                <w:i/>
                <w:sz w:val="20"/>
                <w:szCs w:val="20"/>
              </w:rPr>
              <w:t>et al</w:t>
            </w:r>
            <w:r w:rsidRPr="001E748D">
              <w:rPr>
                <w:rFonts w:ascii="Times New Roman" w:hAnsi="Times New Roman" w:cs="Times New Roman"/>
                <w:sz w:val="20"/>
                <w:szCs w:val="20"/>
              </w:rPr>
              <w:t>. (2009)</w:t>
            </w:r>
            <w:r w:rsidR="00DA3171" w:rsidRPr="00496F78">
              <w:rPr>
                <w:rFonts w:ascii="Times New Roman" w:hAnsi="Times New Roman" w:cs="Times New Roman"/>
                <w:sz w:val="20"/>
                <w:szCs w:val="20"/>
              </w:rPr>
              <w:t xml:space="preserve">; Poltronieri et al. </w:t>
            </w:r>
            <w:r w:rsidR="00DA3171" w:rsidRPr="001E748D">
              <w:rPr>
                <w:rFonts w:ascii="Times New Roman" w:hAnsi="Times New Roman" w:cs="Times New Roman"/>
                <w:sz w:val="20"/>
                <w:szCs w:val="20"/>
                <w:lang w:val="en-US"/>
              </w:rPr>
              <w:t>(2018)</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rPr>
            </w:pPr>
            <w:r w:rsidRPr="001E748D">
              <w:rPr>
                <w:rFonts w:ascii="Times New Roman" w:hAnsi="Times New Roman" w:cs="Times New Roman"/>
                <w:sz w:val="20"/>
                <w:szCs w:val="20"/>
                <w:lang w:val="en-US"/>
              </w:rPr>
              <w:t>Absenteeism</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rate</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has decreased</w:t>
            </w:r>
            <w:r w:rsidRPr="001E748D">
              <w:rPr>
                <w:rFonts w:ascii="Times New Roman" w:hAnsi="Times New Roman" w:cs="Times New Roman"/>
                <w:sz w:val="20"/>
                <w:szCs w:val="20"/>
              </w:rPr>
              <w:t>.</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Gianni et al. (2017)</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shd w:val="clear" w:color="auto" w:fill="auto"/>
          </w:tcPr>
          <w:p w:rsidR="00A629E5" w:rsidRPr="001E748D" w:rsidRDefault="00A629E5" w:rsidP="00544B44">
            <w:pPr>
              <w:ind w:right="-72"/>
              <w:rPr>
                <w:rFonts w:ascii="Times New Roman" w:hAnsi="Times New Roman" w:cs="Times New Roman"/>
                <w:sz w:val="20"/>
                <w:szCs w:val="20"/>
              </w:rPr>
            </w:pPr>
            <w:r w:rsidRPr="001E748D">
              <w:rPr>
                <w:rFonts w:ascii="Times New Roman" w:hAnsi="Times New Roman" w:cs="Times New Roman"/>
                <w:sz w:val="20"/>
                <w:szCs w:val="20"/>
                <w:lang w:val="en-US"/>
              </w:rPr>
              <w:t>Employee initiatives have increased</w:t>
            </w:r>
            <w:r w:rsidRPr="001E748D">
              <w:rPr>
                <w:rFonts w:ascii="Times New Roman" w:hAnsi="Times New Roman" w:cs="Times New Roman"/>
                <w:sz w:val="20"/>
                <w:szCs w:val="20"/>
              </w:rPr>
              <w:t>.</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rPr>
              <w:t xml:space="preserve">Bou-Llusar </w:t>
            </w:r>
            <w:r w:rsidRPr="001E748D">
              <w:rPr>
                <w:rFonts w:ascii="Times New Roman" w:hAnsi="Times New Roman" w:cs="Times New Roman"/>
                <w:i/>
                <w:sz w:val="20"/>
                <w:szCs w:val="20"/>
              </w:rPr>
              <w:t>et al</w:t>
            </w:r>
            <w:r w:rsidRPr="001E748D">
              <w:rPr>
                <w:rFonts w:ascii="Times New Roman" w:hAnsi="Times New Roman" w:cs="Times New Roman"/>
                <w:sz w:val="20"/>
                <w:szCs w:val="20"/>
              </w:rPr>
              <w:t>. (2009)</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shd w:val="clear" w:color="auto" w:fill="auto"/>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Employee engagement in MS implementation has increased.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Simon et al. (2012b)</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shd w:val="clear" w:color="auto" w:fill="auto"/>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Employee participation in decision making has increased.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Gianni et al. (2017)</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Health and safety measures have improved.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eastAsia="TimesNewRoman" w:hAnsi="Times New Roman" w:cs="Times New Roman"/>
                <w:sz w:val="20"/>
                <w:szCs w:val="20"/>
              </w:rPr>
              <w:t xml:space="preserve">Maletič </w:t>
            </w:r>
            <w:r w:rsidRPr="001E748D">
              <w:rPr>
                <w:rFonts w:ascii="Times New Roman" w:eastAsia="TimesNewRoman" w:hAnsi="Times New Roman" w:cs="Times New Roman"/>
                <w:i/>
                <w:sz w:val="20"/>
                <w:szCs w:val="20"/>
              </w:rPr>
              <w:t>et al</w:t>
            </w:r>
            <w:r w:rsidRPr="001E748D">
              <w:rPr>
                <w:rFonts w:ascii="Times New Roman" w:eastAsia="TimesNewRoman" w:hAnsi="Times New Roman" w:cs="Times New Roman"/>
                <w:sz w:val="20"/>
                <w:szCs w:val="20"/>
              </w:rPr>
              <w:t>. (2015)</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Communication with environmental authorities has improved.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Bozbura et al. (2007); Fresner &amp; Engelhardt (2004)</w:t>
            </w:r>
            <w:r w:rsidR="00DA3171" w:rsidRPr="001E748D">
              <w:rPr>
                <w:rFonts w:ascii="Times New Roman" w:hAnsi="Times New Roman" w:cs="Times New Roman"/>
                <w:sz w:val="20"/>
                <w:szCs w:val="20"/>
                <w:lang w:val="en-US"/>
              </w:rPr>
              <w:t>; Poltronieri et al. (2018)</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Environmental impacts of business activities have decreased.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eastAsia="TimesNewRoman" w:hAnsi="Times New Roman" w:cs="Times New Roman"/>
                <w:sz w:val="20"/>
                <w:szCs w:val="20"/>
              </w:rPr>
              <w:t xml:space="preserve">Maletič </w:t>
            </w:r>
            <w:r w:rsidRPr="001E748D">
              <w:rPr>
                <w:rFonts w:ascii="Times New Roman" w:eastAsia="TimesNewRoman" w:hAnsi="Times New Roman" w:cs="Times New Roman"/>
                <w:i/>
                <w:sz w:val="20"/>
                <w:szCs w:val="20"/>
              </w:rPr>
              <w:t>et al</w:t>
            </w:r>
            <w:r w:rsidRPr="001E748D">
              <w:rPr>
                <w:rFonts w:ascii="Times New Roman" w:eastAsia="TimesNewRoman" w:hAnsi="Times New Roman" w:cs="Times New Roman"/>
                <w:sz w:val="20"/>
                <w:szCs w:val="20"/>
              </w:rPr>
              <w:t>. (2015</w:t>
            </w:r>
            <w:proofErr w:type="gramStart"/>
            <w:r w:rsidRPr="001E748D">
              <w:rPr>
                <w:rFonts w:ascii="Times New Roman" w:eastAsia="TimesNewRoman" w:hAnsi="Times New Roman" w:cs="Times New Roman"/>
                <w:sz w:val="20"/>
                <w:szCs w:val="20"/>
              </w:rPr>
              <w:t>)</w:t>
            </w:r>
            <w:r w:rsidR="00DA3171" w:rsidRPr="00496F78">
              <w:rPr>
                <w:rFonts w:ascii="Times New Roman" w:hAnsi="Times New Roman" w:cs="Times New Roman"/>
                <w:sz w:val="20"/>
                <w:szCs w:val="20"/>
              </w:rPr>
              <w:t xml:space="preserve"> )</w:t>
            </w:r>
            <w:proofErr w:type="gramEnd"/>
            <w:r w:rsidR="00DA3171" w:rsidRPr="00496F78">
              <w:rPr>
                <w:rFonts w:ascii="Times New Roman" w:hAnsi="Times New Roman" w:cs="Times New Roman"/>
                <w:sz w:val="20"/>
                <w:szCs w:val="20"/>
              </w:rPr>
              <w:t xml:space="preserve">; Poltronieri et al. </w:t>
            </w:r>
            <w:r w:rsidR="00DA3171" w:rsidRPr="001E748D">
              <w:rPr>
                <w:rFonts w:ascii="Times New Roman" w:hAnsi="Times New Roman" w:cs="Times New Roman"/>
                <w:sz w:val="20"/>
                <w:szCs w:val="20"/>
                <w:lang w:val="en-US"/>
              </w:rPr>
              <w:t>(2018)</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Water saving has increased.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eastAsia="TimesNewRoman" w:hAnsi="Times New Roman" w:cs="Times New Roman"/>
                <w:sz w:val="20"/>
                <w:szCs w:val="20"/>
              </w:rPr>
              <w:t xml:space="preserve">Maletič </w:t>
            </w:r>
            <w:r w:rsidRPr="001E748D">
              <w:rPr>
                <w:rFonts w:ascii="Times New Roman" w:eastAsia="TimesNewRoman" w:hAnsi="Times New Roman" w:cs="Times New Roman"/>
                <w:i/>
                <w:sz w:val="20"/>
                <w:szCs w:val="20"/>
              </w:rPr>
              <w:t>et al</w:t>
            </w:r>
            <w:r w:rsidRPr="001E748D">
              <w:rPr>
                <w:rFonts w:ascii="Times New Roman" w:eastAsia="TimesNewRoman" w:hAnsi="Times New Roman" w:cs="Times New Roman"/>
                <w:sz w:val="20"/>
                <w:szCs w:val="20"/>
              </w:rPr>
              <w:t>. (2015)</w:t>
            </w:r>
            <w:r w:rsidR="00DA3171" w:rsidRPr="00496F78">
              <w:rPr>
                <w:rFonts w:ascii="Times New Roman" w:hAnsi="Times New Roman" w:cs="Times New Roman"/>
                <w:sz w:val="20"/>
                <w:szCs w:val="20"/>
              </w:rPr>
              <w:t xml:space="preserve">; Poltronieri et al. </w:t>
            </w:r>
            <w:r w:rsidR="00DA3171" w:rsidRPr="001E748D">
              <w:rPr>
                <w:rFonts w:ascii="Times New Roman" w:hAnsi="Times New Roman" w:cs="Times New Roman"/>
                <w:sz w:val="20"/>
                <w:szCs w:val="20"/>
                <w:lang w:val="en-US"/>
              </w:rPr>
              <w:t>(2018)</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Energy</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saving</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has</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increased</w:t>
            </w:r>
            <w:r w:rsidRPr="001E748D">
              <w:rPr>
                <w:rFonts w:ascii="Times New Roman" w:hAnsi="Times New Roman" w:cs="Times New Roman"/>
                <w:sz w:val="20"/>
                <w:szCs w:val="20"/>
              </w:rPr>
              <w:t>.</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eastAsia="TimesNewRoman" w:hAnsi="Times New Roman" w:cs="Times New Roman"/>
                <w:sz w:val="20"/>
                <w:szCs w:val="20"/>
              </w:rPr>
              <w:t xml:space="preserve">Maletič </w:t>
            </w:r>
            <w:r w:rsidRPr="001E748D">
              <w:rPr>
                <w:rFonts w:ascii="Times New Roman" w:eastAsia="TimesNewRoman" w:hAnsi="Times New Roman" w:cs="Times New Roman"/>
                <w:i/>
                <w:sz w:val="20"/>
                <w:szCs w:val="20"/>
              </w:rPr>
              <w:t>et al</w:t>
            </w:r>
            <w:r w:rsidRPr="001E748D">
              <w:rPr>
                <w:rFonts w:ascii="Times New Roman" w:eastAsia="TimesNewRoman" w:hAnsi="Times New Roman" w:cs="Times New Roman"/>
                <w:sz w:val="20"/>
                <w:szCs w:val="20"/>
              </w:rPr>
              <w:t>. (2015)</w:t>
            </w:r>
            <w:r w:rsidR="00DA3171" w:rsidRPr="00496F78">
              <w:rPr>
                <w:rFonts w:ascii="Times New Roman" w:hAnsi="Times New Roman" w:cs="Times New Roman"/>
                <w:sz w:val="20"/>
                <w:szCs w:val="20"/>
              </w:rPr>
              <w:t xml:space="preserve">; Poltronieri et al. </w:t>
            </w:r>
            <w:r w:rsidR="00DA3171" w:rsidRPr="001E748D">
              <w:rPr>
                <w:rFonts w:ascii="Times New Roman" w:hAnsi="Times New Roman" w:cs="Times New Roman"/>
                <w:sz w:val="20"/>
                <w:szCs w:val="20"/>
                <w:lang w:val="en-US"/>
              </w:rPr>
              <w:t>(2018)</w:t>
            </w:r>
            <w:r w:rsidRPr="001E748D">
              <w:rPr>
                <w:rFonts w:ascii="Times New Roman" w:eastAsia="TimesNewRoman" w:hAnsi="Times New Roman" w:cs="Times New Roman"/>
                <w:sz w:val="20"/>
                <w:szCs w:val="20"/>
              </w:rPr>
              <w:t>; Savino &amp; Shafiq (2018)</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Use of recycled materials has increased.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eastAsia="TimesNewRoman" w:hAnsi="Times New Roman" w:cs="Times New Roman"/>
                <w:sz w:val="20"/>
                <w:szCs w:val="20"/>
              </w:rPr>
              <w:t xml:space="preserve">Maletič </w:t>
            </w:r>
            <w:r w:rsidRPr="001E748D">
              <w:rPr>
                <w:rFonts w:ascii="Times New Roman" w:eastAsia="TimesNewRoman" w:hAnsi="Times New Roman" w:cs="Times New Roman"/>
                <w:i/>
                <w:sz w:val="20"/>
                <w:szCs w:val="20"/>
              </w:rPr>
              <w:t>et al</w:t>
            </w:r>
            <w:r w:rsidRPr="001E748D">
              <w:rPr>
                <w:rFonts w:ascii="Times New Roman" w:eastAsia="TimesNewRoman" w:hAnsi="Times New Roman" w:cs="Times New Roman"/>
                <w:sz w:val="20"/>
                <w:szCs w:val="20"/>
              </w:rPr>
              <w:t>. (2015)</w:t>
            </w:r>
            <w:r w:rsidR="00DA3171" w:rsidRPr="00496F78">
              <w:rPr>
                <w:rFonts w:ascii="Times New Roman" w:hAnsi="Times New Roman" w:cs="Times New Roman"/>
                <w:sz w:val="20"/>
                <w:szCs w:val="20"/>
              </w:rPr>
              <w:t xml:space="preserve">; Poltronieri et al. </w:t>
            </w:r>
            <w:r w:rsidR="00DA3171" w:rsidRPr="001E748D">
              <w:rPr>
                <w:rFonts w:ascii="Times New Roman" w:hAnsi="Times New Roman" w:cs="Times New Roman"/>
                <w:sz w:val="20"/>
                <w:szCs w:val="20"/>
                <w:lang w:val="en-US"/>
              </w:rPr>
              <w:t>(2018)</w:t>
            </w:r>
            <w:r w:rsidRPr="001E748D">
              <w:rPr>
                <w:rFonts w:ascii="Times New Roman" w:eastAsia="TimesNewRoman" w:hAnsi="Times New Roman" w:cs="Times New Roman"/>
                <w:sz w:val="20"/>
                <w:szCs w:val="20"/>
              </w:rPr>
              <w:t>; Savino &amp; Shafiq (2018)</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Recycling</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rate</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has</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increased</w:t>
            </w:r>
            <w:r w:rsidRPr="001E748D">
              <w:rPr>
                <w:rFonts w:ascii="Times New Roman" w:hAnsi="Times New Roman" w:cs="Times New Roman"/>
                <w:sz w:val="20"/>
                <w:szCs w:val="20"/>
              </w:rPr>
              <w:t>.</w:t>
            </w:r>
          </w:p>
        </w:tc>
        <w:tc>
          <w:tcPr>
            <w:tcW w:w="4050" w:type="dxa"/>
          </w:tcPr>
          <w:p w:rsidR="00A629E5" w:rsidRPr="00496F78" w:rsidRDefault="00A629E5" w:rsidP="00544B44">
            <w:pPr>
              <w:ind w:right="-72"/>
              <w:rPr>
                <w:rFonts w:ascii="Times New Roman" w:hAnsi="Times New Roman" w:cs="Times New Roman"/>
                <w:sz w:val="20"/>
                <w:szCs w:val="20"/>
              </w:rPr>
            </w:pPr>
            <w:r w:rsidRPr="001E748D">
              <w:rPr>
                <w:rFonts w:ascii="Times New Roman" w:eastAsia="TimesNewRoman" w:hAnsi="Times New Roman" w:cs="Times New Roman"/>
                <w:sz w:val="20"/>
                <w:szCs w:val="20"/>
              </w:rPr>
              <w:t xml:space="preserve">Maletič </w:t>
            </w:r>
            <w:r w:rsidRPr="001E748D">
              <w:rPr>
                <w:rFonts w:ascii="Times New Roman" w:eastAsia="TimesNewRoman" w:hAnsi="Times New Roman" w:cs="Times New Roman"/>
                <w:i/>
                <w:sz w:val="20"/>
                <w:szCs w:val="20"/>
              </w:rPr>
              <w:t>et al</w:t>
            </w:r>
            <w:r w:rsidRPr="001E748D">
              <w:rPr>
                <w:rFonts w:ascii="Times New Roman" w:eastAsia="TimesNewRoman" w:hAnsi="Times New Roman" w:cs="Times New Roman"/>
                <w:sz w:val="20"/>
                <w:szCs w:val="20"/>
              </w:rPr>
              <w:t>. (2015); Savino &amp; Shafiq (2018)</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Communication with state authorities has improved.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Bozbura et al. (2007); Fresner &amp; Engelhardt (2004</w:t>
            </w:r>
            <w:r w:rsidR="00DA3171" w:rsidRPr="001E748D">
              <w:rPr>
                <w:rFonts w:ascii="Times New Roman" w:hAnsi="Times New Roman" w:cs="Times New Roman"/>
                <w:sz w:val="20"/>
                <w:szCs w:val="20"/>
                <w:lang w:val="en-US"/>
              </w:rPr>
              <w:t>)</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Collaboration with public bodies has increased.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Bozbura et al. (2007); Fresner &amp; Engelhardt (2004)</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Collaboration with academic and research institutes has increased.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Bozbura et al. (2007)</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Sponsoring and other measures to support local community have increased.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Gianni et al. (2017)</w:t>
            </w:r>
            <w:r w:rsidR="007D7502" w:rsidRPr="001E748D">
              <w:rPr>
                <w:rFonts w:ascii="Times New Roman" w:hAnsi="Times New Roman" w:cs="Times New Roman"/>
                <w:sz w:val="20"/>
                <w:szCs w:val="20"/>
                <w:lang w:val="en-US"/>
              </w:rPr>
              <w:t>; Poltronieri et al. (2018)</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Rewarding by local authorities, NGOs etc. has increased.</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Gianni et al. (2017)</w:t>
            </w:r>
          </w:p>
        </w:tc>
      </w:tr>
      <w:tr w:rsidR="00A629E5" w:rsidRPr="001E748D" w:rsidTr="00544B44">
        <w:tc>
          <w:tcPr>
            <w:tcW w:w="360" w:type="dxa"/>
          </w:tcPr>
          <w:p w:rsidR="00A629E5" w:rsidRPr="001E748D" w:rsidRDefault="00A629E5" w:rsidP="00544B44">
            <w:pPr>
              <w:pStyle w:val="Paragraphedeliste"/>
              <w:numPr>
                <w:ilvl w:val="0"/>
                <w:numId w:val="2"/>
              </w:numPr>
              <w:spacing w:after="0" w:line="240" w:lineRule="auto"/>
              <w:ind w:left="-90" w:right="-108" w:firstLine="0"/>
              <w:rPr>
                <w:rFonts w:ascii="Times New Roman" w:hAnsi="Times New Roman"/>
                <w:sz w:val="20"/>
                <w:szCs w:val="20"/>
                <w:lang w:val="en-US"/>
              </w:rPr>
            </w:pPr>
          </w:p>
        </w:tc>
        <w:tc>
          <w:tcPr>
            <w:tcW w:w="477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hAnsi="Times New Roman" w:cs="Times New Roman"/>
                <w:sz w:val="20"/>
                <w:szCs w:val="20"/>
                <w:lang w:val="en-US"/>
              </w:rPr>
              <w:t>Corporate image</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has</w:t>
            </w:r>
            <w:r w:rsidRPr="001E748D">
              <w:rPr>
                <w:rFonts w:ascii="Times New Roman" w:hAnsi="Times New Roman" w:cs="Times New Roman"/>
                <w:sz w:val="20"/>
                <w:szCs w:val="20"/>
              </w:rPr>
              <w:t xml:space="preserve"> </w:t>
            </w:r>
            <w:r w:rsidRPr="001E748D">
              <w:rPr>
                <w:rFonts w:ascii="Times New Roman" w:hAnsi="Times New Roman" w:cs="Times New Roman"/>
                <w:sz w:val="20"/>
                <w:szCs w:val="20"/>
                <w:lang w:val="en-US"/>
              </w:rPr>
              <w:t>improved</w:t>
            </w:r>
            <w:r w:rsidRPr="001E748D">
              <w:rPr>
                <w:rFonts w:ascii="Times New Roman" w:hAnsi="Times New Roman" w:cs="Times New Roman"/>
                <w:sz w:val="20"/>
                <w:szCs w:val="20"/>
              </w:rPr>
              <w:t>.</w:t>
            </w:r>
          </w:p>
        </w:tc>
        <w:tc>
          <w:tcPr>
            <w:tcW w:w="4050" w:type="dxa"/>
          </w:tcPr>
          <w:p w:rsidR="00A629E5" w:rsidRPr="001E748D" w:rsidRDefault="00A629E5" w:rsidP="00544B44">
            <w:pPr>
              <w:ind w:right="-72"/>
              <w:rPr>
                <w:rFonts w:ascii="Times New Roman" w:hAnsi="Times New Roman" w:cs="Times New Roman"/>
                <w:sz w:val="20"/>
                <w:szCs w:val="20"/>
                <w:lang w:val="en-US"/>
              </w:rPr>
            </w:pPr>
            <w:r w:rsidRPr="001E748D">
              <w:rPr>
                <w:rFonts w:ascii="Times New Roman" w:eastAsia="TimesNewRoman" w:hAnsi="Times New Roman" w:cs="Times New Roman"/>
                <w:sz w:val="20"/>
                <w:szCs w:val="20"/>
              </w:rPr>
              <w:t xml:space="preserve">Maletič </w:t>
            </w:r>
            <w:r w:rsidRPr="001E748D">
              <w:rPr>
                <w:rFonts w:ascii="Times New Roman" w:eastAsia="TimesNewRoman" w:hAnsi="Times New Roman" w:cs="Times New Roman"/>
                <w:i/>
                <w:sz w:val="20"/>
                <w:szCs w:val="20"/>
              </w:rPr>
              <w:t>et al</w:t>
            </w:r>
            <w:r w:rsidRPr="001E748D">
              <w:rPr>
                <w:rFonts w:ascii="Times New Roman" w:eastAsia="TimesNewRoman" w:hAnsi="Times New Roman" w:cs="Times New Roman"/>
                <w:sz w:val="20"/>
                <w:szCs w:val="20"/>
              </w:rPr>
              <w:t>. (2015); Rebelo et al. (2016); Savino &amp; Batbaatar (2015)</w:t>
            </w:r>
          </w:p>
        </w:tc>
      </w:tr>
    </w:tbl>
    <w:p w:rsidR="001B00B5" w:rsidRDefault="001B00B5">
      <w:pPr>
        <w:rPr>
          <w:rFonts w:ascii="Times New Roman" w:hAnsi="Times New Roman" w:cs="Times New Roman"/>
          <w:sz w:val="24"/>
          <w:szCs w:val="24"/>
        </w:rPr>
      </w:pPr>
    </w:p>
    <w:sectPr w:rsidR="001B00B5" w:rsidSect="0040780B">
      <w:headerReference w:type="default" r:id="rId10"/>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08" w:rsidRDefault="00662F08" w:rsidP="00B8154A">
      <w:r>
        <w:separator/>
      </w:r>
    </w:p>
  </w:endnote>
  <w:endnote w:type="continuationSeparator" w:id="0">
    <w:p w:rsidR="00662F08" w:rsidRDefault="00662F08" w:rsidP="00B81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85" w:usb1="00000000" w:usb2="00000000" w:usb3="00000000" w:csb0="0000000A"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08" w:rsidRDefault="00662F08" w:rsidP="00B8154A">
      <w:r>
        <w:separator/>
      </w:r>
    </w:p>
  </w:footnote>
  <w:footnote w:type="continuationSeparator" w:id="0">
    <w:p w:rsidR="00662F08" w:rsidRDefault="00662F08" w:rsidP="00B81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E4" w:rsidRDefault="00C840E4" w:rsidP="00B8154A">
    <w:pPr>
      <w:pStyle w:val="En-tte"/>
      <w:jc w:val="center"/>
    </w:pPr>
    <w:r>
      <w:rPr>
        <w:rFonts w:ascii="Times New Roman" w:hAnsi="Times New Roman"/>
        <w:b/>
        <w:bCs/>
        <w:noProof/>
        <w:lang w:eastAsia="fr-FR"/>
      </w:rPr>
      <w:drawing>
        <wp:inline distT="0" distB="0" distL="0" distR="0">
          <wp:extent cx="2221548" cy="909808"/>
          <wp:effectExtent l="19050" t="0" r="7302"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C840E4" w:rsidRDefault="00C840E4" w:rsidP="00B8154A">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D5C"/>
    <w:multiLevelType w:val="multilevel"/>
    <w:tmpl w:val="A736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7177E"/>
    <w:multiLevelType w:val="hybridMultilevel"/>
    <w:tmpl w:val="33BC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24C9C"/>
    <w:multiLevelType w:val="hybridMultilevel"/>
    <w:tmpl w:val="EF94A502"/>
    <w:lvl w:ilvl="0" w:tplc="3404D7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FE2C86"/>
    <w:rsid w:val="00000ABA"/>
    <w:rsid w:val="000074D2"/>
    <w:rsid w:val="00011F19"/>
    <w:rsid w:val="00012425"/>
    <w:rsid w:val="00021CCB"/>
    <w:rsid w:val="00025303"/>
    <w:rsid w:val="00025AEE"/>
    <w:rsid w:val="00031A9E"/>
    <w:rsid w:val="00032511"/>
    <w:rsid w:val="00033E12"/>
    <w:rsid w:val="000411BB"/>
    <w:rsid w:val="0004385A"/>
    <w:rsid w:val="000502B5"/>
    <w:rsid w:val="000525EF"/>
    <w:rsid w:val="000544C0"/>
    <w:rsid w:val="00092175"/>
    <w:rsid w:val="0009278F"/>
    <w:rsid w:val="00094DC0"/>
    <w:rsid w:val="00096FD0"/>
    <w:rsid w:val="000A1FDE"/>
    <w:rsid w:val="000B0502"/>
    <w:rsid w:val="000B1FFC"/>
    <w:rsid w:val="000B6096"/>
    <w:rsid w:val="000C061E"/>
    <w:rsid w:val="000C2D14"/>
    <w:rsid w:val="000D7F30"/>
    <w:rsid w:val="000E4B6D"/>
    <w:rsid w:val="000F2310"/>
    <w:rsid w:val="000F2FD6"/>
    <w:rsid w:val="000F6C42"/>
    <w:rsid w:val="001029ED"/>
    <w:rsid w:val="00105EEB"/>
    <w:rsid w:val="00113FDA"/>
    <w:rsid w:val="001148AB"/>
    <w:rsid w:val="00116EAD"/>
    <w:rsid w:val="00122236"/>
    <w:rsid w:val="00122C64"/>
    <w:rsid w:val="00125C83"/>
    <w:rsid w:val="00126C58"/>
    <w:rsid w:val="001356CE"/>
    <w:rsid w:val="0014677B"/>
    <w:rsid w:val="001548E8"/>
    <w:rsid w:val="00185190"/>
    <w:rsid w:val="00195D0D"/>
    <w:rsid w:val="001A7A0B"/>
    <w:rsid w:val="001A7FDD"/>
    <w:rsid w:val="001B00B5"/>
    <w:rsid w:val="001C0C0F"/>
    <w:rsid w:val="001C360D"/>
    <w:rsid w:val="001C42CF"/>
    <w:rsid w:val="001C4933"/>
    <w:rsid w:val="001C56A2"/>
    <w:rsid w:val="001D485D"/>
    <w:rsid w:val="001D5793"/>
    <w:rsid w:val="001E33C9"/>
    <w:rsid w:val="001E6AC1"/>
    <w:rsid w:val="001E748D"/>
    <w:rsid w:val="001E7BAF"/>
    <w:rsid w:val="00204DBE"/>
    <w:rsid w:val="0020747B"/>
    <w:rsid w:val="00207E5A"/>
    <w:rsid w:val="00217980"/>
    <w:rsid w:val="00241BF8"/>
    <w:rsid w:val="002463F6"/>
    <w:rsid w:val="00251911"/>
    <w:rsid w:val="00257094"/>
    <w:rsid w:val="002644A3"/>
    <w:rsid w:val="002674DB"/>
    <w:rsid w:val="002754E1"/>
    <w:rsid w:val="00293847"/>
    <w:rsid w:val="0029501E"/>
    <w:rsid w:val="002A1EB5"/>
    <w:rsid w:val="002A4266"/>
    <w:rsid w:val="002B5C86"/>
    <w:rsid w:val="002C1A6C"/>
    <w:rsid w:val="002C6BFC"/>
    <w:rsid w:val="002C7D29"/>
    <w:rsid w:val="002D12B5"/>
    <w:rsid w:val="002D2329"/>
    <w:rsid w:val="002D362F"/>
    <w:rsid w:val="002D3E46"/>
    <w:rsid w:val="002F0EC7"/>
    <w:rsid w:val="002F247F"/>
    <w:rsid w:val="002F30AF"/>
    <w:rsid w:val="00305C85"/>
    <w:rsid w:val="00306767"/>
    <w:rsid w:val="003074F1"/>
    <w:rsid w:val="00307FB6"/>
    <w:rsid w:val="00311AEE"/>
    <w:rsid w:val="00313B02"/>
    <w:rsid w:val="003362EE"/>
    <w:rsid w:val="0033690E"/>
    <w:rsid w:val="00342E27"/>
    <w:rsid w:val="00345AC9"/>
    <w:rsid w:val="00353113"/>
    <w:rsid w:val="00355CEA"/>
    <w:rsid w:val="00357E7F"/>
    <w:rsid w:val="00362854"/>
    <w:rsid w:val="003647B0"/>
    <w:rsid w:val="00367A66"/>
    <w:rsid w:val="0037130D"/>
    <w:rsid w:val="00377129"/>
    <w:rsid w:val="00382A55"/>
    <w:rsid w:val="003831BA"/>
    <w:rsid w:val="00383F8E"/>
    <w:rsid w:val="0039195C"/>
    <w:rsid w:val="003A7EF7"/>
    <w:rsid w:val="003B1AF7"/>
    <w:rsid w:val="003B3584"/>
    <w:rsid w:val="003B7DCD"/>
    <w:rsid w:val="003C2880"/>
    <w:rsid w:val="003C70CF"/>
    <w:rsid w:val="003E22F8"/>
    <w:rsid w:val="003E64BD"/>
    <w:rsid w:val="003E7B4A"/>
    <w:rsid w:val="003F55FA"/>
    <w:rsid w:val="0040780B"/>
    <w:rsid w:val="00413C90"/>
    <w:rsid w:val="00413E26"/>
    <w:rsid w:val="0041468D"/>
    <w:rsid w:val="00421EEC"/>
    <w:rsid w:val="00437400"/>
    <w:rsid w:val="00437498"/>
    <w:rsid w:val="0045182E"/>
    <w:rsid w:val="0045754B"/>
    <w:rsid w:val="00457FEC"/>
    <w:rsid w:val="004637AA"/>
    <w:rsid w:val="00466408"/>
    <w:rsid w:val="00494391"/>
    <w:rsid w:val="0049616F"/>
    <w:rsid w:val="00496F78"/>
    <w:rsid w:val="004A1FD8"/>
    <w:rsid w:val="004A3C23"/>
    <w:rsid w:val="004A6692"/>
    <w:rsid w:val="004B6110"/>
    <w:rsid w:val="004C2CE1"/>
    <w:rsid w:val="004C42E5"/>
    <w:rsid w:val="004C79D8"/>
    <w:rsid w:val="004D29B5"/>
    <w:rsid w:val="004D38CD"/>
    <w:rsid w:val="004D45C1"/>
    <w:rsid w:val="004E216F"/>
    <w:rsid w:val="004E57D5"/>
    <w:rsid w:val="004F3116"/>
    <w:rsid w:val="0050567F"/>
    <w:rsid w:val="00507D37"/>
    <w:rsid w:val="005118FD"/>
    <w:rsid w:val="00521EC8"/>
    <w:rsid w:val="00522380"/>
    <w:rsid w:val="00535816"/>
    <w:rsid w:val="0053721E"/>
    <w:rsid w:val="00544B44"/>
    <w:rsid w:val="00555A24"/>
    <w:rsid w:val="00565117"/>
    <w:rsid w:val="005655DE"/>
    <w:rsid w:val="00570AF4"/>
    <w:rsid w:val="00575D0B"/>
    <w:rsid w:val="005779EA"/>
    <w:rsid w:val="005943D5"/>
    <w:rsid w:val="0059477A"/>
    <w:rsid w:val="005B4A54"/>
    <w:rsid w:val="005B619F"/>
    <w:rsid w:val="005C3891"/>
    <w:rsid w:val="005C43D5"/>
    <w:rsid w:val="005C7A9A"/>
    <w:rsid w:val="005E3670"/>
    <w:rsid w:val="0060189D"/>
    <w:rsid w:val="00630A4E"/>
    <w:rsid w:val="0063798D"/>
    <w:rsid w:val="00643981"/>
    <w:rsid w:val="0064449C"/>
    <w:rsid w:val="00650BD9"/>
    <w:rsid w:val="00653A32"/>
    <w:rsid w:val="006610BB"/>
    <w:rsid w:val="0066240C"/>
    <w:rsid w:val="00662F08"/>
    <w:rsid w:val="006748C2"/>
    <w:rsid w:val="00676C8B"/>
    <w:rsid w:val="00682780"/>
    <w:rsid w:val="00697AD4"/>
    <w:rsid w:val="006A1A6D"/>
    <w:rsid w:val="006B00F2"/>
    <w:rsid w:val="006B3AD3"/>
    <w:rsid w:val="006B3FE2"/>
    <w:rsid w:val="006B528E"/>
    <w:rsid w:val="006B7845"/>
    <w:rsid w:val="006C4253"/>
    <w:rsid w:val="006C4676"/>
    <w:rsid w:val="006D7EA0"/>
    <w:rsid w:val="006E0032"/>
    <w:rsid w:val="006E1ABF"/>
    <w:rsid w:val="006E6E94"/>
    <w:rsid w:val="007015A3"/>
    <w:rsid w:val="00711806"/>
    <w:rsid w:val="007224F8"/>
    <w:rsid w:val="00725402"/>
    <w:rsid w:val="007277E3"/>
    <w:rsid w:val="007309B4"/>
    <w:rsid w:val="00731452"/>
    <w:rsid w:val="00732D26"/>
    <w:rsid w:val="00733823"/>
    <w:rsid w:val="00745F87"/>
    <w:rsid w:val="00747755"/>
    <w:rsid w:val="007573EC"/>
    <w:rsid w:val="007642F1"/>
    <w:rsid w:val="00765512"/>
    <w:rsid w:val="00771C83"/>
    <w:rsid w:val="0079359C"/>
    <w:rsid w:val="00793BB6"/>
    <w:rsid w:val="00793F87"/>
    <w:rsid w:val="007A1564"/>
    <w:rsid w:val="007A6C05"/>
    <w:rsid w:val="007B459D"/>
    <w:rsid w:val="007B5BC6"/>
    <w:rsid w:val="007B5CE1"/>
    <w:rsid w:val="007B627F"/>
    <w:rsid w:val="007C0BD7"/>
    <w:rsid w:val="007C54AA"/>
    <w:rsid w:val="007C77B7"/>
    <w:rsid w:val="007D35CF"/>
    <w:rsid w:val="007D63D2"/>
    <w:rsid w:val="007D71DD"/>
    <w:rsid w:val="007D7502"/>
    <w:rsid w:val="007E0D2F"/>
    <w:rsid w:val="007E58A3"/>
    <w:rsid w:val="007F6706"/>
    <w:rsid w:val="007F6B3F"/>
    <w:rsid w:val="00803CFB"/>
    <w:rsid w:val="008049AB"/>
    <w:rsid w:val="008129D2"/>
    <w:rsid w:val="00834E38"/>
    <w:rsid w:val="008409BC"/>
    <w:rsid w:val="00842DDA"/>
    <w:rsid w:val="0086122C"/>
    <w:rsid w:val="008622CA"/>
    <w:rsid w:val="00864CD8"/>
    <w:rsid w:val="0086552A"/>
    <w:rsid w:val="008700DB"/>
    <w:rsid w:val="00870C1F"/>
    <w:rsid w:val="00871D74"/>
    <w:rsid w:val="008751F4"/>
    <w:rsid w:val="00880BC1"/>
    <w:rsid w:val="00890F0C"/>
    <w:rsid w:val="0089245F"/>
    <w:rsid w:val="008A00ED"/>
    <w:rsid w:val="008A3BA1"/>
    <w:rsid w:val="008A4C80"/>
    <w:rsid w:val="008A6BCA"/>
    <w:rsid w:val="008C1BFF"/>
    <w:rsid w:val="008C4C2A"/>
    <w:rsid w:val="008C5435"/>
    <w:rsid w:val="008C6E49"/>
    <w:rsid w:val="008D0D52"/>
    <w:rsid w:val="008D1769"/>
    <w:rsid w:val="008E56B9"/>
    <w:rsid w:val="008E6255"/>
    <w:rsid w:val="008E7622"/>
    <w:rsid w:val="008F26F1"/>
    <w:rsid w:val="008F2EB3"/>
    <w:rsid w:val="00901832"/>
    <w:rsid w:val="0090511D"/>
    <w:rsid w:val="00910F6F"/>
    <w:rsid w:val="00914FA8"/>
    <w:rsid w:val="0091502D"/>
    <w:rsid w:val="00917B0E"/>
    <w:rsid w:val="009241DC"/>
    <w:rsid w:val="00925138"/>
    <w:rsid w:val="009261B7"/>
    <w:rsid w:val="009317B5"/>
    <w:rsid w:val="00933021"/>
    <w:rsid w:val="009338C9"/>
    <w:rsid w:val="00934E41"/>
    <w:rsid w:val="00936F66"/>
    <w:rsid w:val="00937B14"/>
    <w:rsid w:val="0094319B"/>
    <w:rsid w:val="009517AF"/>
    <w:rsid w:val="00951985"/>
    <w:rsid w:val="00964544"/>
    <w:rsid w:val="00964B0C"/>
    <w:rsid w:val="0097383A"/>
    <w:rsid w:val="00983548"/>
    <w:rsid w:val="009911D4"/>
    <w:rsid w:val="009920F4"/>
    <w:rsid w:val="009A4410"/>
    <w:rsid w:val="009B3918"/>
    <w:rsid w:val="009C2CD9"/>
    <w:rsid w:val="009C3A5D"/>
    <w:rsid w:val="009D064B"/>
    <w:rsid w:val="009E3C41"/>
    <w:rsid w:val="009E649A"/>
    <w:rsid w:val="009E79E5"/>
    <w:rsid w:val="009F325B"/>
    <w:rsid w:val="009F59CB"/>
    <w:rsid w:val="009F6B86"/>
    <w:rsid w:val="00A1221B"/>
    <w:rsid w:val="00A246FD"/>
    <w:rsid w:val="00A40A61"/>
    <w:rsid w:val="00A45F1C"/>
    <w:rsid w:val="00A629E5"/>
    <w:rsid w:val="00A72C80"/>
    <w:rsid w:val="00A7369D"/>
    <w:rsid w:val="00A75C25"/>
    <w:rsid w:val="00A8090F"/>
    <w:rsid w:val="00A911A1"/>
    <w:rsid w:val="00A9294E"/>
    <w:rsid w:val="00A955FA"/>
    <w:rsid w:val="00AA0957"/>
    <w:rsid w:val="00AA374A"/>
    <w:rsid w:val="00AA5FA9"/>
    <w:rsid w:val="00AB299F"/>
    <w:rsid w:val="00AC5E38"/>
    <w:rsid w:val="00AC758E"/>
    <w:rsid w:val="00AD3286"/>
    <w:rsid w:val="00AD78C6"/>
    <w:rsid w:val="00AE0711"/>
    <w:rsid w:val="00AE3899"/>
    <w:rsid w:val="00AE5257"/>
    <w:rsid w:val="00AE6A38"/>
    <w:rsid w:val="00AF1A18"/>
    <w:rsid w:val="00AF51C2"/>
    <w:rsid w:val="00B00DF1"/>
    <w:rsid w:val="00B01273"/>
    <w:rsid w:val="00B05EF5"/>
    <w:rsid w:val="00B0705D"/>
    <w:rsid w:val="00B073C2"/>
    <w:rsid w:val="00B12A3A"/>
    <w:rsid w:val="00B137A4"/>
    <w:rsid w:val="00B240E9"/>
    <w:rsid w:val="00B24442"/>
    <w:rsid w:val="00B35287"/>
    <w:rsid w:val="00B3686D"/>
    <w:rsid w:val="00B40E04"/>
    <w:rsid w:val="00B45228"/>
    <w:rsid w:val="00B530BD"/>
    <w:rsid w:val="00B601B5"/>
    <w:rsid w:val="00B61A48"/>
    <w:rsid w:val="00B75980"/>
    <w:rsid w:val="00B8154A"/>
    <w:rsid w:val="00B91305"/>
    <w:rsid w:val="00BA042E"/>
    <w:rsid w:val="00BA28BF"/>
    <w:rsid w:val="00BB5346"/>
    <w:rsid w:val="00BC275C"/>
    <w:rsid w:val="00BC5E48"/>
    <w:rsid w:val="00BD4790"/>
    <w:rsid w:val="00BD49A6"/>
    <w:rsid w:val="00BD6AA1"/>
    <w:rsid w:val="00BE41E8"/>
    <w:rsid w:val="00BF2F11"/>
    <w:rsid w:val="00BF3830"/>
    <w:rsid w:val="00BF3CA4"/>
    <w:rsid w:val="00BF6BD7"/>
    <w:rsid w:val="00C03E4E"/>
    <w:rsid w:val="00C067FA"/>
    <w:rsid w:val="00C06A7E"/>
    <w:rsid w:val="00C11C2B"/>
    <w:rsid w:val="00C1414A"/>
    <w:rsid w:val="00C1459D"/>
    <w:rsid w:val="00C25FE5"/>
    <w:rsid w:val="00C51634"/>
    <w:rsid w:val="00C606A2"/>
    <w:rsid w:val="00C6144D"/>
    <w:rsid w:val="00C64315"/>
    <w:rsid w:val="00C66A57"/>
    <w:rsid w:val="00C70BD5"/>
    <w:rsid w:val="00C83F60"/>
    <w:rsid w:val="00C840E4"/>
    <w:rsid w:val="00C85437"/>
    <w:rsid w:val="00C90066"/>
    <w:rsid w:val="00C905A4"/>
    <w:rsid w:val="00CB3B9C"/>
    <w:rsid w:val="00CC1787"/>
    <w:rsid w:val="00CC4905"/>
    <w:rsid w:val="00CD279C"/>
    <w:rsid w:val="00CD2813"/>
    <w:rsid w:val="00CE2C86"/>
    <w:rsid w:val="00CF30B3"/>
    <w:rsid w:val="00CF44F3"/>
    <w:rsid w:val="00D00865"/>
    <w:rsid w:val="00D017B6"/>
    <w:rsid w:val="00D045A9"/>
    <w:rsid w:val="00D05ADE"/>
    <w:rsid w:val="00D13B08"/>
    <w:rsid w:val="00D13F11"/>
    <w:rsid w:val="00D15C63"/>
    <w:rsid w:val="00D173B4"/>
    <w:rsid w:val="00D20639"/>
    <w:rsid w:val="00D36530"/>
    <w:rsid w:val="00D542B9"/>
    <w:rsid w:val="00D54A9E"/>
    <w:rsid w:val="00D55A91"/>
    <w:rsid w:val="00D732DB"/>
    <w:rsid w:val="00D737F7"/>
    <w:rsid w:val="00D73EFB"/>
    <w:rsid w:val="00D84C7C"/>
    <w:rsid w:val="00D9336F"/>
    <w:rsid w:val="00D939AB"/>
    <w:rsid w:val="00D93C1B"/>
    <w:rsid w:val="00DA0294"/>
    <w:rsid w:val="00DA3171"/>
    <w:rsid w:val="00DA3582"/>
    <w:rsid w:val="00DA3C66"/>
    <w:rsid w:val="00DB362D"/>
    <w:rsid w:val="00DC015A"/>
    <w:rsid w:val="00DC5A74"/>
    <w:rsid w:val="00DC6584"/>
    <w:rsid w:val="00DC78C0"/>
    <w:rsid w:val="00DD7CF8"/>
    <w:rsid w:val="00E00EC2"/>
    <w:rsid w:val="00E02197"/>
    <w:rsid w:val="00E054A4"/>
    <w:rsid w:val="00E0752E"/>
    <w:rsid w:val="00E13B93"/>
    <w:rsid w:val="00E23F3E"/>
    <w:rsid w:val="00E26450"/>
    <w:rsid w:val="00E4235A"/>
    <w:rsid w:val="00E51F84"/>
    <w:rsid w:val="00E73F51"/>
    <w:rsid w:val="00E8549A"/>
    <w:rsid w:val="00E9119D"/>
    <w:rsid w:val="00E94AA9"/>
    <w:rsid w:val="00E94CDE"/>
    <w:rsid w:val="00E96BDA"/>
    <w:rsid w:val="00E97822"/>
    <w:rsid w:val="00E97CA7"/>
    <w:rsid w:val="00EA23ED"/>
    <w:rsid w:val="00EA6639"/>
    <w:rsid w:val="00EB5A3C"/>
    <w:rsid w:val="00EC1863"/>
    <w:rsid w:val="00EC287D"/>
    <w:rsid w:val="00EC2FC0"/>
    <w:rsid w:val="00EC44B6"/>
    <w:rsid w:val="00EE240C"/>
    <w:rsid w:val="00EE5980"/>
    <w:rsid w:val="00EE700D"/>
    <w:rsid w:val="00EF265D"/>
    <w:rsid w:val="00F004FD"/>
    <w:rsid w:val="00F018AE"/>
    <w:rsid w:val="00F055B3"/>
    <w:rsid w:val="00F15EE3"/>
    <w:rsid w:val="00F1777F"/>
    <w:rsid w:val="00F347E4"/>
    <w:rsid w:val="00F423E8"/>
    <w:rsid w:val="00F607B0"/>
    <w:rsid w:val="00F60844"/>
    <w:rsid w:val="00F60D85"/>
    <w:rsid w:val="00F61BE5"/>
    <w:rsid w:val="00F64569"/>
    <w:rsid w:val="00F64F63"/>
    <w:rsid w:val="00F70F36"/>
    <w:rsid w:val="00F74360"/>
    <w:rsid w:val="00F77D82"/>
    <w:rsid w:val="00F805D9"/>
    <w:rsid w:val="00F82200"/>
    <w:rsid w:val="00F9280A"/>
    <w:rsid w:val="00FA4298"/>
    <w:rsid w:val="00FA7ECD"/>
    <w:rsid w:val="00FB63E2"/>
    <w:rsid w:val="00FB659D"/>
    <w:rsid w:val="00FC0A19"/>
    <w:rsid w:val="00FD0704"/>
    <w:rsid w:val="00FD145E"/>
    <w:rsid w:val="00FD30AF"/>
    <w:rsid w:val="00FD72F2"/>
    <w:rsid w:val="00FE2C86"/>
    <w:rsid w:val="00FF1AE3"/>
    <w:rsid w:val="00FF54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86"/>
  </w:style>
  <w:style w:type="paragraph" w:styleId="Titre3">
    <w:name w:val="heading 3"/>
    <w:basedOn w:val="Normal"/>
    <w:next w:val="Normal"/>
    <w:link w:val="Titre3Car"/>
    <w:uiPriority w:val="9"/>
    <w:unhideWhenUsed/>
    <w:qFormat/>
    <w:rsid w:val="00105EEB"/>
    <w:pPr>
      <w:keepNext/>
      <w:keepLines/>
      <w:spacing w:before="200" w:after="120"/>
      <w:jc w:val="both"/>
      <w:outlineLvl w:val="2"/>
    </w:pPr>
    <w:rPr>
      <w:rFonts w:ascii="Times New Roman" w:eastAsia="Times New Roman" w:hAnsi="Times New Roman" w:cs="Arial"/>
      <w:b/>
      <w:bCs/>
      <w:i/>
      <w:sz w:val="24"/>
      <w:lang w:val="el-GR" w:eastAsia="el-G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154A"/>
    <w:pPr>
      <w:tabs>
        <w:tab w:val="center" w:pos="4819"/>
        <w:tab w:val="right" w:pos="9638"/>
      </w:tabs>
    </w:pPr>
  </w:style>
  <w:style w:type="character" w:customStyle="1" w:styleId="En-tteCar">
    <w:name w:val="En-tête Car"/>
    <w:basedOn w:val="Policepardfaut"/>
    <w:link w:val="En-tte"/>
    <w:uiPriority w:val="99"/>
    <w:rsid w:val="00B8154A"/>
  </w:style>
  <w:style w:type="paragraph" w:styleId="Pieddepage">
    <w:name w:val="footer"/>
    <w:basedOn w:val="Normal"/>
    <w:link w:val="PieddepageCar"/>
    <w:uiPriority w:val="99"/>
    <w:unhideWhenUsed/>
    <w:rsid w:val="00B8154A"/>
    <w:pPr>
      <w:tabs>
        <w:tab w:val="center" w:pos="4819"/>
        <w:tab w:val="right" w:pos="9638"/>
      </w:tabs>
    </w:pPr>
  </w:style>
  <w:style w:type="character" w:customStyle="1" w:styleId="PieddepageCar">
    <w:name w:val="Pied de page Car"/>
    <w:basedOn w:val="Policepardfaut"/>
    <w:link w:val="Pieddepage"/>
    <w:uiPriority w:val="99"/>
    <w:rsid w:val="00B8154A"/>
  </w:style>
  <w:style w:type="paragraph" w:styleId="Textedebulles">
    <w:name w:val="Balloon Text"/>
    <w:basedOn w:val="Normal"/>
    <w:link w:val="TextedebullesCar"/>
    <w:uiPriority w:val="99"/>
    <w:semiHidden/>
    <w:unhideWhenUsed/>
    <w:rsid w:val="0037130D"/>
    <w:rPr>
      <w:rFonts w:ascii="Tahoma" w:hAnsi="Tahoma" w:cs="Tahoma"/>
      <w:sz w:val="16"/>
      <w:szCs w:val="16"/>
    </w:rPr>
  </w:style>
  <w:style w:type="character" w:customStyle="1" w:styleId="TextedebullesCar">
    <w:name w:val="Texte de bulles Car"/>
    <w:basedOn w:val="Policepardfaut"/>
    <w:link w:val="Textedebulles"/>
    <w:uiPriority w:val="99"/>
    <w:semiHidden/>
    <w:rsid w:val="0037130D"/>
    <w:rPr>
      <w:rFonts w:ascii="Tahoma" w:hAnsi="Tahoma" w:cs="Tahoma"/>
      <w:sz w:val="16"/>
      <w:szCs w:val="16"/>
    </w:rPr>
  </w:style>
  <w:style w:type="paragraph" w:styleId="Notedebasdepage">
    <w:name w:val="footnote text"/>
    <w:basedOn w:val="Normal"/>
    <w:link w:val="NotedebasdepageCar"/>
    <w:unhideWhenUsed/>
    <w:rsid w:val="00293847"/>
    <w:pPr>
      <w:spacing w:after="200" w:line="276" w:lineRule="auto"/>
    </w:pPr>
    <w:rPr>
      <w:rFonts w:ascii="Calibri" w:eastAsia="Calibri" w:hAnsi="Calibri" w:cs="Times New Roman"/>
      <w:sz w:val="20"/>
      <w:szCs w:val="20"/>
      <w:lang w:val="it-IT"/>
    </w:rPr>
  </w:style>
  <w:style w:type="character" w:customStyle="1" w:styleId="NotedebasdepageCar">
    <w:name w:val="Note de bas de page Car"/>
    <w:basedOn w:val="Policepardfaut"/>
    <w:link w:val="Notedebasdepage"/>
    <w:rsid w:val="00293847"/>
    <w:rPr>
      <w:rFonts w:ascii="Calibri" w:eastAsia="Calibri" w:hAnsi="Calibri" w:cs="Times New Roman"/>
      <w:sz w:val="20"/>
      <w:szCs w:val="20"/>
      <w:lang w:val="it-IT"/>
    </w:rPr>
  </w:style>
  <w:style w:type="character" w:styleId="Appelnotedebasdep">
    <w:name w:val="footnote reference"/>
    <w:uiPriority w:val="99"/>
    <w:semiHidden/>
    <w:unhideWhenUsed/>
    <w:rsid w:val="00293847"/>
    <w:rPr>
      <w:vertAlign w:val="superscript"/>
    </w:rPr>
  </w:style>
  <w:style w:type="character" w:styleId="Lienhypertexte">
    <w:name w:val="Hyperlink"/>
    <w:basedOn w:val="Policepardfaut"/>
    <w:uiPriority w:val="99"/>
    <w:semiHidden/>
    <w:unhideWhenUsed/>
    <w:rsid w:val="00A8090F"/>
    <w:rPr>
      <w:color w:val="0000FF"/>
      <w:u w:val="single"/>
    </w:rPr>
  </w:style>
  <w:style w:type="character" w:customStyle="1" w:styleId="authors">
    <w:name w:val="authors"/>
    <w:basedOn w:val="Policepardfaut"/>
    <w:rsid w:val="00E96BDA"/>
  </w:style>
  <w:style w:type="character" w:customStyle="1" w:styleId="date">
    <w:name w:val="date"/>
    <w:basedOn w:val="Policepardfaut"/>
    <w:rsid w:val="00E96BDA"/>
  </w:style>
  <w:style w:type="character" w:customStyle="1" w:styleId="arttitle">
    <w:name w:val="art_title"/>
    <w:basedOn w:val="Policepardfaut"/>
    <w:rsid w:val="00E96BDA"/>
  </w:style>
  <w:style w:type="character" w:customStyle="1" w:styleId="serialtitle">
    <w:name w:val="serial_title"/>
    <w:basedOn w:val="Policepardfaut"/>
    <w:rsid w:val="00E96BDA"/>
  </w:style>
  <w:style w:type="character" w:customStyle="1" w:styleId="volumeissue">
    <w:name w:val="volume_issue"/>
    <w:basedOn w:val="Policepardfaut"/>
    <w:rsid w:val="00E96BDA"/>
  </w:style>
  <w:style w:type="character" w:customStyle="1" w:styleId="pagerange">
    <w:name w:val="page_range"/>
    <w:basedOn w:val="Policepardfaut"/>
    <w:rsid w:val="00E96BDA"/>
  </w:style>
  <w:style w:type="character" w:customStyle="1" w:styleId="doilink">
    <w:name w:val="doi_link"/>
    <w:basedOn w:val="Policepardfaut"/>
    <w:rsid w:val="00E96BDA"/>
  </w:style>
  <w:style w:type="character" w:customStyle="1" w:styleId="apple-converted-space">
    <w:name w:val="apple-converted-space"/>
    <w:basedOn w:val="Policepardfaut"/>
    <w:rsid w:val="001C360D"/>
  </w:style>
  <w:style w:type="character" w:customStyle="1" w:styleId="il">
    <w:name w:val="il"/>
    <w:basedOn w:val="Policepardfaut"/>
    <w:rsid w:val="001C360D"/>
  </w:style>
  <w:style w:type="character" w:customStyle="1" w:styleId="w1">
    <w:name w:val="w1"/>
    <w:rsid w:val="001C360D"/>
    <w:rPr>
      <w:color w:val="0000FF"/>
    </w:rPr>
  </w:style>
  <w:style w:type="character" w:customStyle="1" w:styleId="normaltextrun">
    <w:name w:val="normaltextrun"/>
    <w:basedOn w:val="Policepardfaut"/>
    <w:rsid w:val="00747755"/>
  </w:style>
  <w:style w:type="character" w:customStyle="1" w:styleId="spellingerror">
    <w:name w:val="spellingerror"/>
    <w:basedOn w:val="Policepardfaut"/>
    <w:rsid w:val="00747755"/>
  </w:style>
  <w:style w:type="character" w:customStyle="1" w:styleId="eop">
    <w:name w:val="eop"/>
    <w:basedOn w:val="Policepardfaut"/>
    <w:rsid w:val="00747755"/>
  </w:style>
  <w:style w:type="character" w:customStyle="1" w:styleId="Titre3Car">
    <w:name w:val="Titre 3 Car"/>
    <w:basedOn w:val="Policepardfaut"/>
    <w:link w:val="Titre3"/>
    <w:uiPriority w:val="9"/>
    <w:rsid w:val="00105EEB"/>
    <w:rPr>
      <w:rFonts w:ascii="Times New Roman" w:eastAsia="Times New Roman" w:hAnsi="Times New Roman" w:cs="Arial"/>
      <w:b/>
      <w:bCs/>
      <w:i/>
      <w:sz w:val="24"/>
      <w:lang w:val="el-GR" w:eastAsia="el-GR"/>
    </w:rPr>
  </w:style>
  <w:style w:type="table" w:customStyle="1" w:styleId="1">
    <w:name w:val="Ανοιχτόχρωμη σκίαση1"/>
    <w:basedOn w:val="TableauNormal"/>
    <w:uiPriority w:val="60"/>
    <w:rsid w:val="00105EEB"/>
    <w:rPr>
      <w:color w:val="000000" w:themeColor="text1" w:themeShade="BF"/>
      <w:lang w:val="el-G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
    <w:name w:val="Ανοιχτόχρωμη σκίαση2"/>
    <w:basedOn w:val="TableauNormal"/>
    <w:uiPriority w:val="60"/>
    <w:rsid w:val="00105EEB"/>
    <w:rPr>
      <w:color w:val="000000" w:themeColor="text1" w:themeShade="BF"/>
      <w:lang w:val="el-G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3">
    <w:name w:val="Medium List 1 Accent 3"/>
    <w:basedOn w:val="TableauNormal"/>
    <w:uiPriority w:val="65"/>
    <w:rsid w:val="00105EEB"/>
    <w:rPr>
      <w:color w:val="000000" w:themeColor="text1"/>
      <w:lang w:val="el-G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Paragraphedeliste">
    <w:name w:val="List Paragraph"/>
    <w:basedOn w:val="Normal"/>
    <w:uiPriority w:val="34"/>
    <w:qFormat/>
    <w:rsid w:val="00964544"/>
    <w:pPr>
      <w:spacing w:after="200" w:line="276" w:lineRule="auto"/>
      <w:ind w:left="720"/>
      <w:contextualSpacing/>
    </w:pPr>
    <w:rPr>
      <w:rFonts w:ascii="Calibri" w:eastAsia="Calibri" w:hAnsi="Calibri" w:cs="Times New Roman"/>
      <w:lang w:val="it-IT"/>
    </w:rPr>
  </w:style>
  <w:style w:type="character" w:styleId="CitationHTML">
    <w:name w:val="HTML Cite"/>
    <w:basedOn w:val="Policepardfaut"/>
    <w:uiPriority w:val="99"/>
    <w:semiHidden/>
    <w:unhideWhenUsed/>
    <w:rsid w:val="00A7369D"/>
    <w:rPr>
      <w:i/>
      <w:iCs/>
    </w:rPr>
  </w:style>
  <w:style w:type="table" w:styleId="Grilledutableau">
    <w:name w:val="Table Grid"/>
    <w:basedOn w:val="TableauNormal"/>
    <w:uiPriority w:val="59"/>
    <w:unhideWhenUsed/>
    <w:rsid w:val="00F822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B528E"/>
    <w:pPr>
      <w:spacing w:before="100" w:beforeAutospacing="1" w:after="100" w:afterAutospacing="1"/>
    </w:pPr>
    <w:rPr>
      <w:rFonts w:ascii="Times New Roman" w:eastAsia="Times New Roman" w:hAnsi="Times New Roman" w:cs="Times New Roman"/>
      <w:sz w:val="24"/>
      <w:szCs w:val="24"/>
      <w:lang w:val="en-US"/>
    </w:rPr>
  </w:style>
  <w:style w:type="character" w:styleId="Accentuation">
    <w:name w:val="Emphasis"/>
    <w:basedOn w:val="Policepardfaut"/>
    <w:uiPriority w:val="20"/>
    <w:qFormat/>
    <w:rsid w:val="00DC5A74"/>
    <w:rPr>
      <w:i/>
      <w:iCs/>
    </w:rPr>
  </w:style>
  <w:style w:type="character" w:customStyle="1" w:styleId="balloon">
    <w:name w:val="balloon"/>
    <w:basedOn w:val="Policepardfaut"/>
    <w:rsid w:val="00011F19"/>
  </w:style>
  <w:style w:type="character" w:customStyle="1" w:styleId="nlmstring-name">
    <w:name w:val="nlm_string-name"/>
    <w:basedOn w:val="Policepardfaut"/>
    <w:rsid w:val="00011F19"/>
  </w:style>
  <w:style w:type="character" w:customStyle="1" w:styleId="nlmyear">
    <w:name w:val="nlm_year"/>
    <w:basedOn w:val="Policepardfaut"/>
    <w:rsid w:val="00011F19"/>
  </w:style>
  <w:style w:type="character" w:customStyle="1" w:styleId="nlmarticle-title">
    <w:name w:val="nlm_article-title"/>
    <w:basedOn w:val="Policepardfaut"/>
    <w:rsid w:val="00011F19"/>
  </w:style>
  <w:style w:type="character" w:customStyle="1" w:styleId="nlmfpage">
    <w:name w:val="nlm_fpage"/>
    <w:basedOn w:val="Policepardfaut"/>
    <w:rsid w:val="00011F19"/>
  </w:style>
  <w:style w:type="character" w:customStyle="1" w:styleId="nlmlpage">
    <w:name w:val="nlm_lpage"/>
    <w:basedOn w:val="Policepardfaut"/>
    <w:rsid w:val="00011F19"/>
  </w:style>
  <w:style w:type="character" w:customStyle="1" w:styleId="cls-response">
    <w:name w:val="cls-response"/>
    <w:basedOn w:val="Policepardfaut"/>
    <w:rsid w:val="00F74360"/>
  </w:style>
  <w:style w:type="character" w:styleId="lev">
    <w:name w:val="Strong"/>
    <w:basedOn w:val="Policepardfaut"/>
    <w:uiPriority w:val="22"/>
    <w:qFormat/>
    <w:rsid w:val="00630A4E"/>
    <w:rPr>
      <w:b/>
      <w:bCs/>
    </w:rPr>
  </w:style>
  <w:style w:type="character" w:customStyle="1" w:styleId="ref-lnk">
    <w:name w:val="ref-lnk"/>
    <w:basedOn w:val="Policepardfaut"/>
    <w:rsid w:val="00A72C80"/>
  </w:style>
  <w:style w:type="character" w:customStyle="1" w:styleId="ref-overlay">
    <w:name w:val="ref-overlay"/>
    <w:basedOn w:val="Policepardfaut"/>
    <w:rsid w:val="00A72C80"/>
  </w:style>
  <w:style w:type="character" w:customStyle="1" w:styleId="hlfld-contribauthor">
    <w:name w:val="hlfld-contribauthor"/>
    <w:basedOn w:val="Policepardfaut"/>
    <w:rsid w:val="00A72C80"/>
  </w:style>
  <w:style w:type="character" w:customStyle="1" w:styleId="nlmgiven-names">
    <w:name w:val="nlm_given-names"/>
    <w:basedOn w:val="Policepardfaut"/>
    <w:rsid w:val="00A72C80"/>
  </w:style>
  <w:style w:type="character" w:customStyle="1" w:styleId="ref-links">
    <w:name w:val="ref-links"/>
    <w:basedOn w:val="Policepardfaut"/>
    <w:rsid w:val="00A72C80"/>
  </w:style>
  <w:style w:type="character" w:customStyle="1" w:styleId="googlescholar-container">
    <w:name w:val="googlescholar-container"/>
    <w:basedOn w:val="Policepardfaut"/>
    <w:rsid w:val="00A72C80"/>
  </w:style>
</w:styles>
</file>

<file path=word/webSettings.xml><?xml version="1.0" encoding="utf-8"?>
<w:webSettings xmlns:r="http://schemas.openxmlformats.org/officeDocument/2006/relationships" xmlns:w="http://schemas.openxmlformats.org/wordprocessingml/2006/main">
  <w:divs>
    <w:div w:id="179273717">
      <w:bodyDiv w:val="1"/>
      <w:marLeft w:val="0"/>
      <w:marRight w:val="0"/>
      <w:marTop w:val="0"/>
      <w:marBottom w:val="0"/>
      <w:divBdr>
        <w:top w:val="none" w:sz="0" w:space="0" w:color="auto"/>
        <w:left w:val="none" w:sz="0" w:space="0" w:color="auto"/>
        <w:bottom w:val="none" w:sz="0" w:space="0" w:color="auto"/>
        <w:right w:val="none" w:sz="0" w:space="0" w:color="auto"/>
      </w:divBdr>
    </w:div>
    <w:div w:id="398284557">
      <w:bodyDiv w:val="1"/>
      <w:marLeft w:val="0"/>
      <w:marRight w:val="0"/>
      <w:marTop w:val="0"/>
      <w:marBottom w:val="0"/>
      <w:divBdr>
        <w:top w:val="none" w:sz="0" w:space="0" w:color="auto"/>
        <w:left w:val="none" w:sz="0" w:space="0" w:color="auto"/>
        <w:bottom w:val="none" w:sz="0" w:space="0" w:color="auto"/>
        <w:right w:val="none" w:sz="0" w:space="0" w:color="auto"/>
      </w:divBdr>
    </w:div>
    <w:div w:id="773600039">
      <w:bodyDiv w:val="1"/>
      <w:marLeft w:val="0"/>
      <w:marRight w:val="0"/>
      <w:marTop w:val="0"/>
      <w:marBottom w:val="0"/>
      <w:divBdr>
        <w:top w:val="none" w:sz="0" w:space="0" w:color="auto"/>
        <w:left w:val="none" w:sz="0" w:space="0" w:color="auto"/>
        <w:bottom w:val="none" w:sz="0" w:space="0" w:color="auto"/>
        <w:right w:val="none" w:sz="0" w:space="0" w:color="auto"/>
      </w:divBdr>
      <w:divsChild>
        <w:div w:id="1965429709">
          <w:marLeft w:val="0"/>
          <w:marRight w:val="0"/>
          <w:marTop w:val="0"/>
          <w:marBottom w:val="0"/>
          <w:divBdr>
            <w:top w:val="none" w:sz="0" w:space="0" w:color="auto"/>
            <w:left w:val="none" w:sz="0" w:space="0" w:color="auto"/>
            <w:bottom w:val="none" w:sz="0" w:space="0" w:color="auto"/>
            <w:right w:val="none" w:sz="0" w:space="0" w:color="auto"/>
          </w:divBdr>
        </w:div>
      </w:divsChild>
    </w:div>
    <w:div w:id="832337218">
      <w:bodyDiv w:val="1"/>
      <w:marLeft w:val="0"/>
      <w:marRight w:val="0"/>
      <w:marTop w:val="0"/>
      <w:marBottom w:val="0"/>
      <w:divBdr>
        <w:top w:val="none" w:sz="0" w:space="0" w:color="auto"/>
        <w:left w:val="none" w:sz="0" w:space="0" w:color="auto"/>
        <w:bottom w:val="none" w:sz="0" w:space="0" w:color="auto"/>
        <w:right w:val="none" w:sz="0" w:space="0" w:color="auto"/>
      </w:divBdr>
    </w:div>
    <w:div w:id="1031495921">
      <w:bodyDiv w:val="1"/>
      <w:marLeft w:val="0"/>
      <w:marRight w:val="0"/>
      <w:marTop w:val="0"/>
      <w:marBottom w:val="0"/>
      <w:divBdr>
        <w:top w:val="none" w:sz="0" w:space="0" w:color="auto"/>
        <w:left w:val="none" w:sz="0" w:space="0" w:color="auto"/>
        <w:bottom w:val="none" w:sz="0" w:space="0" w:color="auto"/>
        <w:right w:val="none" w:sz="0" w:space="0" w:color="auto"/>
      </w:divBdr>
    </w:div>
    <w:div w:id="1161391967">
      <w:bodyDiv w:val="1"/>
      <w:marLeft w:val="0"/>
      <w:marRight w:val="0"/>
      <w:marTop w:val="0"/>
      <w:marBottom w:val="0"/>
      <w:divBdr>
        <w:top w:val="none" w:sz="0" w:space="0" w:color="auto"/>
        <w:left w:val="none" w:sz="0" w:space="0" w:color="auto"/>
        <w:bottom w:val="none" w:sz="0" w:space="0" w:color="auto"/>
        <w:right w:val="none" w:sz="0" w:space="0" w:color="auto"/>
      </w:divBdr>
    </w:div>
    <w:div w:id="1289898474">
      <w:bodyDiv w:val="1"/>
      <w:marLeft w:val="0"/>
      <w:marRight w:val="0"/>
      <w:marTop w:val="0"/>
      <w:marBottom w:val="0"/>
      <w:divBdr>
        <w:top w:val="none" w:sz="0" w:space="0" w:color="auto"/>
        <w:left w:val="none" w:sz="0" w:space="0" w:color="auto"/>
        <w:bottom w:val="none" w:sz="0" w:space="0" w:color="auto"/>
        <w:right w:val="none" w:sz="0" w:space="0" w:color="auto"/>
      </w:divBdr>
    </w:div>
    <w:div w:id="1455707584">
      <w:bodyDiv w:val="1"/>
      <w:marLeft w:val="0"/>
      <w:marRight w:val="0"/>
      <w:marTop w:val="0"/>
      <w:marBottom w:val="0"/>
      <w:divBdr>
        <w:top w:val="none" w:sz="0" w:space="0" w:color="auto"/>
        <w:left w:val="none" w:sz="0" w:space="0" w:color="auto"/>
        <w:bottom w:val="none" w:sz="0" w:space="0" w:color="auto"/>
        <w:right w:val="none" w:sz="0" w:space="0" w:color="auto"/>
      </w:divBdr>
    </w:div>
    <w:div w:id="1572500539">
      <w:bodyDiv w:val="1"/>
      <w:marLeft w:val="0"/>
      <w:marRight w:val="0"/>
      <w:marTop w:val="0"/>
      <w:marBottom w:val="0"/>
      <w:divBdr>
        <w:top w:val="none" w:sz="0" w:space="0" w:color="auto"/>
        <w:left w:val="none" w:sz="0" w:space="0" w:color="auto"/>
        <w:bottom w:val="none" w:sz="0" w:space="0" w:color="auto"/>
        <w:right w:val="none" w:sz="0" w:space="0" w:color="auto"/>
      </w:divBdr>
    </w:div>
    <w:div w:id="1766994544">
      <w:bodyDiv w:val="1"/>
      <w:marLeft w:val="0"/>
      <w:marRight w:val="0"/>
      <w:marTop w:val="0"/>
      <w:marBottom w:val="0"/>
      <w:divBdr>
        <w:top w:val="none" w:sz="0" w:space="0" w:color="auto"/>
        <w:left w:val="none" w:sz="0" w:space="0" w:color="auto"/>
        <w:bottom w:val="none" w:sz="0" w:space="0" w:color="auto"/>
        <w:right w:val="none" w:sz="0" w:space="0" w:color="auto"/>
      </w:divBdr>
      <w:divsChild>
        <w:div w:id="1084569542">
          <w:marLeft w:val="0"/>
          <w:marRight w:val="0"/>
          <w:marTop w:val="0"/>
          <w:marBottom w:val="225"/>
          <w:divBdr>
            <w:top w:val="none" w:sz="0" w:space="0" w:color="auto"/>
            <w:left w:val="none" w:sz="0" w:space="0" w:color="auto"/>
            <w:bottom w:val="none" w:sz="0" w:space="0" w:color="auto"/>
            <w:right w:val="none" w:sz="0" w:space="0" w:color="auto"/>
          </w:divBdr>
        </w:div>
        <w:div w:id="1032344206">
          <w:marLeft w:val="0"/>
          <w:marRight w:val="0"/>
          <w:marTop w:val="0"/>
          <w:marBottom w:val="225"/>
          <w:divBdr>
            <w:top w:val="none" w:sz="0" w:space="0" w:color="auto"/>
            <w:left w:val="none" w:sz="0" w:space="0" w:color="auto"/>
            <w:bottom w:val="none" w:sz="0" w:space="0" w:color="auto"/>
            <w:right w:val="none" w:sz="0" w:space="0" w:color="auto"/>
          </w:divBdr>
        </w:div>
        <w:div w:id="904951759">
          <w:marLeft w:val="0"/>
          <w:marRight w:val="0"/>
          <w:marTop w:val="0"/>
          <w:marBottom w:val="225"/>
          <w:divBdr>
            <w:top w:val="none" w:sz="0" w:space="0" w:color="auto"/>
            <w:left w:val="none" w:sz="0" w:space="0" w:color="auto"/>
            <w:bottom w:val="none" w:sz="0" w:space="0" w:color="auto"/>
            <w:right w:val="none" w:sz="0" w:space="0" w:color="auto"/>
          </w:divBdr>
        </w:div>
        <w:div w:id="2092462604">
          <w:marLeft w:val="0"/>
          <w:marRight w:val="0"/>
          <w:marTop w:val="0"/>
          <w:marBottom w:val="225"/>
          <w:divBdr>
            <w:top w:val="none" w:sz="0" w:space="0" w:color="auto"/>
            <w:left w:val="none" w:sz="0" w:space="0" w:color="auto"/>
            <w:bottom w:val="none" w:sz="0" w:space="0" w:color="auto"/>
            <w:right w:val="none" w:sz="0" w:space="0" w:color="auto"/>
          </w:divBdr>
        </w:div>
        <w:div w:id="1371568766">
          <w:marLeft w:val="0"/>
          <w:marRight w:val="0"/>
          <w:marTop w:val="0"/>
          <w:marBottom w:val="225"/>
          <w:divBdr>
            <w:top w:val="none" w:sz="0" w:space="0" w:color="auto"/>
            <w:left w:val="none" w:sz="0" w:space="0" w:color="auto"/>
            <w:bottom w:val="none" w:sz="0" w:space="0" w:color="auto"/>
            <w:right w:val="none" w:sz="0" w:space="0" w:color="auto"/>
          </w:divBdr>
        </w:div>
      </w:divsChild>
    </w:div>
    <w:div w:id="1885367532">
      <w:bodyDiv w:val="1"/>
      <w:marLeft w:val="0"/>
      <w:marRight w:val="0"/>
      <w:marTop w:val="0"/>
      <w:marBottom w:val="0"/>
      <w:divBdr>
        <w:top w:val="none" w:sz="0" w:space="0" w:color="auto"/>
        <w:left w:val="none" w:sz="0" w:space="0" w:color="auto"/>
        <w:bottom w:val="none" w:sz="0" w:space="0" w:color="auto"/>
        <w:right w:val="none" w:sz="0" w:space="0" w:color="auto"/>
      </w:divBdr>
    </w:div>
    <w:div w:id="1925410334">
      <w:bodyDiv w:val="1"/>
      <w:marLeft w:val="0"/>
      <w:marRight w:val="0"/>
      <w:marTop w:val="0"/>
      <w:marBottom w:val="0"/>
      <w:divBdr>
        <w:top w:val="none" w:sz="0" w:space="0" w:color="auto"/>
        <w:left w:val="none" w:sz="0" w:space="0" w:color="auto"/>
        <w:bottom w:val="none" w:sz="0" w:space="0" w:color="auto"/>
        <w:right w:val="none" w:sz="0" w:space="0" w:color="auto"/>
      </w:divBdr>
      <w:divsChild>
        <w:div w:id="657266996">
          <w:marLeft w:val="0"/>
          <w:marRight w:val="0"/>
          <w:marTop w:val="0"/>
          <w:marBottom w:val="0"/>
          <w:divBdr>
            <w:top w:val="none" w:sz="0" w:space="0" w:color="auto"/>
            <w:left w:val="none" w:sz="0" w:space="0" w:color="auto"/>
            <w:bottom w:val="none" w:sz="0" w:space="0" w:color="auto"/>
            <w:right w:val="none" w:sz="0" w:space="0" w:color="auto"/>
          </w:divBdr>
        </w:div>
        <w:div w:id="1764375476">
          <w:marLeft w:val="0"/>
          <w:marRight w:val="0"/>
          <w:marTop w:val="0"/>
          <w:marBottom w:val="0"/>
          <w:divBdr>
            <w:top w:val="none" w:sz="0" w:space="0" w:color="auto"/>
            <w:left w:val="none" w:sz="0" w:space="0" w:color="auto"/>
            <w:bottom w:val="none" w:sz="0" w:space="0" w:color="auto"/>
            <w:right w:val="none" w:sz="0" w:space="0" w:color="auto"/>
          </w:divBdr>
        </w:div>
      </w:divsChild>
    </w:div>
    <w:div w:id="19917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0B0C-46BE-4D4D-B4BD-73CDBF11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6969</Words>
  <Characters>38333</Characters>
  <Application>Microsoft Office Word</Application>
  <DocSecurity>0</DocSecurity>
  <Lines>319</Lines>
  <Paragraphs>90</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2019-04-02T12:29:00Z</cp:lastPrinted>
  <dcterms:created xsi:type="dcterms:W3CDTF">2019-06-30T01:51:00Z</dcterms:created>
  <dcterms:modified xsi:type="dcterms:W3CDTF">2019-06-30T01:51:00Z</dcterms:modified>
</cp:coreProperties>
</file>