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24" w:rsidRDefault="00681524" w:rsidP="000A431C">
      <w:pPr>
        <w:spacing w:after="0" w:line="240" w:lineRule="auto"/>
        <w:jc w:val="center"/>
        <w:rPr>
          <w:rFonts w:ascii="Times New Roman" w:hAnsi="Times New Roman"/>
          <w:b/>
          <w:sz w:val="32"/>
          <w:szCs w:val="24"/>
          <w:lang w:val="en-GB"/>
        </w:rPr>
      </w:pPr>
    </w:p>
    <w:p w:rsidR="00681524" w:rsidRDefault="00681524" w:rsidP="000A431C">
      <w:pPr>
        <w:spacing w:after="0" w:line="240" w:lineRule="auto"/>
        <w:jc w:val="center"/>
        <w:rPr>
          <w:rFonts w:ascii="Times New Roman" w:hAnsi="Times New Roman"/>
          <w:b/>
          <w:sz w:val="32"/>
          <w:szCs w:val="24"/>
          <w:lang w:val="en-GB"/>
        </w:rPr>
      </w:pPr>
      <w:r>
        <w:rPr>
          <w:rFonts w:ascii="Times New Roman" w:hAnsi="Times New Roman"/>
          <w:b/>
          <w:bCs/>
          <w:noProof/>
          <w:lang w:val="fr-FR" w:eastAsia="fr-FR"/>
        </w:rPr>
        <w:drawing>
          <wp:inline distT="0" distB="0" distL="0" distR="0">
            <wp:extent cx="2221548" cy="909808"/>
            <wp:effectExtent l="0" t="0" r="0" b="0"/>
            <wp:docPr id="5"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8" cstate="print"/>
                    <a:srcRect/>
                    <a:stretch>
                      <a:fillRect/>
                    </a:stretch>
                  </pic:blipFill>
                  <pic:spPr bwMode="auto">
                    <a:xfrm>
                      <a:off x="0" y="0"/>
                      <a:ext cx="2224773" cy="911129"/>
                    </a:xfrm>
                    <a:prstGeom prst="rect">
                      <a:avLst/>
                    </a:prstGeom>
                    <a:noFill/>
                    <a:ln w="9525">
                      <a:noFill/>
                      <a:miter lim="800000"/>
                      <a:headEnd/>
                      <a:tailEnd/>
                    </a:ln>
                  </pic:spPr>
                </pic:pic>
              </a:graphicData>
            </a:graphic>
          </wp:inline>
        </w:drawing>
      </w:r>
    </w:p>
    <w:p w:rsidR="000A431C" w:rsidRPr="007F4548" w:rsidRDefault="000A431C" w:rsidP="000A431C">
      <w:pPr>
        <w:spacing w:after="0" w:line="240" w:lineRule="auto"/>
        <w:jc w:val="center"/>
        <w:rPr>
          <w:rFonts w:ascii="Times New Roman" w:hAnsi="Times New Roman"/>
          <w:b/>
          <w:sz w:val="32"/>
          <w:szCs w:val="24"/>
          <w:lang w:val="en-GB"/>
        </w:rPr>
      </w:pPr>
      <w:r w:rsidRPr="007F4548">
        <w:rPr>
          <w:rFonts w:ascii="Times New Roman" w:hAnsi="Times New Roman"/>
          <w:b/>
          <w:sz w:val="32"/>
          <w:szCs w:val="24"/>
          <w:lang w:val="en-GB"/>
        </w:rPr>
        <w:t xml:space="preserve">A dualistic interpretation of value in higher education: </w:t>
      </w:r>
    </w:p>
    <w:p w:rsidR="00191F9B" w:rsidRPr="007F4548" w:rsidRDefault="000A431C" w:rsidP="000A431C">
      <w:pPr>
        <w:spacing w:after="0" w:line="240" w:lineRule="auto"/>
        <w:jc w:val="center"/>
        <w:rPr>
          <w:rFonts w:ascii="Times New Roman" w:hAnsi="Times New Roman"/>
          <w:b/>
          <w:sz w:val="28"/>
          <w:szCs w:val="24"/>
          <w:lang w:val="en-GB"/>
        </w:rPr>
      </w:pPr>
      <w:r w:rsidRPr="007F4548">
        <w:rPr>
          <w:rFonts w:ascii="Times New Roman" w:hAnsi="Times New Roman"/>
          <w:b/>
          <w:sz w:val="32"/>
          <w:szCs w:val="24"/>
          <w:lang w:val="en-GB"/>
        </w:rPr>
        <w:t>Comparing students and academics’ perspectives</w:t>
      </w:r>
    </w:p>
    <w:p w:rsidR="00191F9B" w:rsidRPr="007F4548" w:rsidRDefault="00191F9B" w:rsidP="00191F9B">
      <w:pPr>
        <w:spacing w:after="0" w:line="240" w:lineRule="auto"/>
        <w:jc w:val="center"/>
        <w:rPr>
          <w:rFonts w:ascii="Times New Roman" w:hAnsi="Times New Roman"/>
          <w:b/>
          <w:sz w:val="24"/>
          <w:szCs w:val="24"/>
          <w:lang w:val="en-GB"/>
        </w:rPr>
      </w:pPr>
    </w:p>
    <w:p w:rsidR="00191F9B" w:rsidRPr="007F4548" w:rsidRDefault="00191F9B" w:rsidP="00191F9B">
      <w:pPr>
        <w:spacing w:after="0" w:line="240" w:lineRule="auto"/>
        <w:jc w:val="center"/>
        <w:rPr>
          <w:rFonts w:ascii="Times New Roman" w:hAnsi="Times New Roman"/>
          <w:b/>
          <w:sz w:val="24"/>
          <w:szCs w:val="24"/>
          <w:lang w:val="en-GB"/>
        </w:rPr>
      </w:pPr>
    </w:p>
    <w:p w:rsidR="00191F9B" w:rsidRPr="007F4548" w:rsidRDefault="00191F9B" w:rsidP="00191F9B">
      <w:pPr>
        <w:spacing w:after="0" w:line="240" w:lineRule="auto"/>
        <w:jc w:val="center"/>
        <w:rPr>
          <w:rFonts w:ascii="Times New Roman" w:hAnsi="Times New Roman"/>
          <w:b/>
          <w:sz w:val="24"/>
          <w:szCs w:val="24"/>
          <w:lang w:val="en-GB"/>
        </w:rPr>
      </w:pPr>
    </w:p>
    <w:p w:rsidR="00191F9B" w:rsidRPr="007F4548" w:rsidRDefault="00191F9B" w:rsidP="00191F9B">
      <w:pPr>
        <w:spacing w:after="0" w:line="240" w:lineRule="auto"/>
        <w:jc w:val="center"/>
        <w:rPr>
          <w:rFonts w:ascii="Times New Roman" w:hAnsi="Times New Roman"/>
          <w:b/>
          <w:sz w:val="24"/>
          <w:szCs w:val="24"/>
          <w:lang w:val="en-GB"/>
        </w:rPr>
      </w:pPr>
    </w:p>
    <w:p w:rsidR="000A431C" w:rsidRPr="007F4548" w:rsidRDefault="000A431C" w:rsidP="000A431C">
      <w:pPr>
        <w:spacing w:after="0" w:line="240" w:lineRule="auto"/>
        <w:jc w:val="center"/>
        <w:rPr>
          <w:rFonts w:ascii="Times New Roman" w:hAnsi="Times New Roman"/>
          <w:b/>
          <w:i/>
          <w:sz w:val="24"/>
          <w:szCs w:val="24"/>
          <w:lang w:val="en-GB" w:eastAsia="it-IT"/>
        </w:rPr>
      </w:pPr>
      <w:r w:rsidRPr="007F4548">
        <w:rPr>
          <w:rFonts w:ascii="Times New Roman" w:hAnsi="Times New Roman"/>
          <w:b/>
          <w:i/>
          <w:sz w:val="24"/>
          <w:szCs w:val="24"/>
          <w:lang w:val="en-GB" w:eastAsia="it-IT"/>
        </w:rPr>
        <w:t>Mauro Cavallone</w:t>
      </w:r>
    </w:p>
    <w:p w:rsidR="000A431C" w:rsidRPr="007F4548" w:rsidRDefault="000A431C" w:rsidP="000A431C">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Department of Management, Economics and Quantitative Methods</w:t>
      </w:r>
    </w:p>
    <w:p w:rsidR="000A431C" w:rsidRPr="007F4548" w:rsidRDefault="000A431C" w:rsidP="000A431C">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University of Bergamo (Italy)</w:t>
      </w:r>
    </w:p>
    <w:p w:rsidR="000A431C" w:rsidRDefault="000A431C" w:rsidP="000A431C">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 xml:space="preserve">Email </w:t>
      </w:r>
      <w:hyperlink r:id="rId9" w:history="1">
        <w:r w:rsidR="001D4132" w:rsidRPr="00F3336D">
          <w:rPr>
            <w:rStyle w:val="Lienhypertexte"/>
            <w:rFonts w:ascii="Times New Roman" w:hAnsi="Times New Roman"/>
            <w:sz w:val="24"/>
            <w:szCs w:val="24"/>
            <w:lang w:val="en-GB" w:eastAsia="it-IT"/>
          </w:rPr>
          <w:t>mauro.cavallone@unibg.it</w:t>
        </w:r>
      </w:hyperlink>
    </w:p>
    <w:p w:rsidR="000A431C" w:rsidRPr="007F4548" w:rsidRDefault="000A431C" w:rsidP="001D4132">
      <w:pPr>
        <w:spacing w:after="0" w:line="240" w:lineRule="auto"/>
        <w:rPr>
          <w:rFonts w:ascii="Times New Roman" w:hAnsi="Times New Roman"/>
          <w:b/>
          <w:i/>
          <w:sz w:val="24"/>
          <w:szCs w:val="24"/>
          <w:lang w:val="en-GB" w:eastAsia="it-IT"/>
        </w:rPr>
      </w:pPr>
    </w:p>
    <w:p w:rsidR="00243328" w:rsidRPr="007F4548" w:rsidRDefault="00243328" w:rsidP="00191F9B">
      <w:pPr>
        <w:spacing w:after="0" w:line="240" w:lineRule="auto"/>
        <w:jc w:val="center"/>
        <w:rPr>
          <w:rFonts w:ascii="Times New Roman" w:hAnsi="Times New Roman"/>
          <w:b/>
          <w:i/>
          <w:sz w:val="24"/>
          <w:szCs w:val="24"/>
          <w:lang w:val="en-GB" w:eastAsia="it-IT"/>
        </w:rPr>
      </w:pPr>
    </w:p>
    <w:p w:rsidR="00243328" w:rsidRPr="007F4548" w:rsidRDefault="00243328" w:rsidP="00243328">
      <w:pPr>
        <w:spacing w:after="0" w:line="240" w:lineRule="auto"/>
        <w:jc w:val="center"/>
        <w:rPr>
          <w:rFonts w:ascii="Times New Roman" w:hAnsi="Times New Roman"/>
          <w:b/>
          <w:i/>
          <w:sz w:val="28"/>
          <w:szCs w:val="24"/>
          <w:lang w:val="en-GB" w:eastAsia="it-IT"/>
        </w:rPr>
      </w:pPr>
      <w:r w:rsidRPr="007F4548">
        <w:rPr>
          <w:rFonts w:ascii="Times New Roman" w:hAnsi="Times New Roman"/>
          <w:b/>
          <w:i/>
          <w:sz w:val="24"/>
          <w:szCs w:val="24"/>
          <w:lang w:val="en-GB" w:eastAsia="it-IT"/>
        </w:rPr>
        <w:t>Rosalba Manna</w:t>
      </w:r>
    </w:p>
    <w:p w:rsidR="00243328" w:rsidRPr="007F4548" w:rsidRDefault="00243328" w:rsidP="00243328">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Department of Management and Quantitative Studies</w:t>
      </w:r>
    </w:p>
    <w:p w:rsidR="00243328" w:rsidRPr="007F4548" w:rsidRDefault="00243328" w:rsidP="00243328">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University of Naples “Parthenope” (Italy)</w:t>
      </w:r>
    </w:p>
    <w:p w:rsidR="00243328" w:rsidRDefault="00243328" w:rsidP="00243328">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 xml:space="preserve">Email </w:t>
      </w:r>
      <w:hyperlink r:id="rId10" w:history="1">
        <w:r w:rsidR="001D4132" w:rsidRPr="00F3336D">
          <w:rPr>
            <w:rStyle w:val="Lienhypertexte"/>
            <w:rFonts w:ascii="Times New Roman" w:hAnsi="Times New Roman"/>
            <w:sz w:val="24"/>
            <w:szCs w:val="24"/>
            <w:lang w:val="en-GB" w:eastAsia="it-IT"/>
          </w:rPr>
          <w:t>rosalba.manna@uniparthenope.it</w:t>
        </w:r>
      </w:hyperlink>
    </w:p>
    <w:p w:rsidR="001D4132" w:rsidRPr="007F4548" w:rsidRDefault="001D4132" w:rsidP="00243328">
      <w:pPr>
        <w:spacing w:after="0" w:line="240" w:lineRule="auto"/>
        <w:jc w:val="center"/>
        <w:rPr>
          <w:rFonts w:ascii="Times New Roman" w:hAnsi="Times New Roman"/>
          <w:sz w:val="24"/>
          <w:szCs w:val="24"/>
          <w:lang w:val="en-GB" w:eastAsia="it-IT"/>
        </w:rPr>
      </w:pPr>
    </w:p>
    <w:p w:rsidR="001D4132" w:rsidRPr="00FC28AB" w:rsidRDefault="001D4132" w:rsidP="001D4132">
      <w:pPr>
        <w:spacing w:after="0" w:line="240" w:lineRule="auto"/>
        <w:jc w:val="center"/>
        <w:rPr>
          <w:rFonts w:ascii="Times New Roman" w:hAnsi="Times New Roman"/>
          <w:b/>
          <w:i/>
          <w:sz w:val="24"/>
          <w:szCs w:val="24"/>
          <w:lang w:val="en-GB" w:eastAsia="it-IT"/>
        </w:rPr>
      </w:pPr>
      <w:r w:rsidRPr="00FC28AB">
        <w:rPr>
          <w:rFonts w:ascii="Times New Roman" w:hAnsi="Times New Roman"/>
          <w:b/>
          <w:i/>
          <w:sz w:val="24"/>
          <w:szCs w:val="24"/>
          <w:lang w:val="en-GB" w:eastAsia="it-IT"/>
        </w:rPr>
        <w:t xml:space="preserve">Maria </w:t>
      </w:r>
      <w:proofErr w:type="spellStart"/>
      <w:r w:rsidRPr="00FC28AB">
        <w:rPr>
          <w:rFonts w:ascii="Times New Roman" w:hAnsi="Times New Roman"/>
          <w:b/>
          <w:i/>
          <w:sz w:val="24"/>
          <w:szCs w:val="24"/>
          <w:lang w:val="en-GB" w:eastAsia="it-IT"/>
        </w:rPr>
        <w:t>Vincenza</w:t>
      </w:r>
      <w:proofErr w:type="spellEnd"/>
      <w:r w:rsidRPr="00FC28AB">
        <w:rPr>
          <w:rFonts w:ascii="Times New Roman" w:hAnsi="Times New Roman"/>
          <w:b/>
          <w:i/>
          <w:sz w:val="24"/>
          <w:szCs w:val="24"/>
          <w:lang w:val="en-GB" w:eastAsia="it-IT"/>
        </w:rPr>
        <w:t xml:space="preserve"> </w:t>
      </w:r>
      <w:proofErr w:type="spellStart"/>
      <w:r w:rsidRPr="00FC28AB">
        <w:rPr>
          <w:rFonts w:ascii="Times New Roman" w:hAnsi="Times New Roman"/>
          <w:b/>
          <w:i/>
          <w:sz w:val="24"/>
          <w:szCs w:val="24"/>
          <w:lang w:val="en-GB" w:eastAsia="it-IT"/>
        </w:rPr>
        <w:t>Ciasullo</w:t>
      </w:r>
      <w:proofErr w:type="spellEnd"/>
    </w:p>
    <w:p w:rsidR="001D4132" w:rsidRPr="007F4548" w:rsidRDefault="001D4132" w:rsidP="001D4132">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Department of Management &amp; Innovation Systems</w:t>
      </w:r>
    </w:p>
    <w:p w:rsidR="001D4132" w:rsidRPr="007F4548" w:rsidRDefault="001D4132" w:rsidP="001D4132">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University of Salerno (Italy)</w:t>
      </w:r>
    </w:p>
    <w:p w:rsidR="001D4132" w:rsidRDefault="001D4132" w:rsidP="001D4132">
      <w:pPr>
        <w:spacing w:after="0" w:line="240" w:lineRule="auto"/>
        <w:jc w:val="center"/>
        <w:rPr>
          <w:rFonts w:ascii="Times New Roman" w:hAnsi="Times New Roman"/>
          <w:sz w:val="24"/>
          <w:szCs w:val="24"/>
          <w:lang w:val="en-GB"/>
        </w:rPr>
      </w:pPr>
      <w:r w:rsidRPr="00FC28AB">
        <w:rPr>
          <w:rFonts w:ascii="Times New Roman" w:hAnsi="Times New Roman"/>
          <w:sz w:val="24"/>
          <w:szCs w:val="24"/>
          <w:lang w:val="en-GB"/>
        </w:rPr>
        <w:t xml:space="preserve">Email </w:t>
      </w:r>
      <w:hyperlink r:id="rId11" w:history="1">
        <w:r w:rsidRPr="00F3336D">
          <w:rPr>
            <w:rStyle w:val="Lienhypertexte"/>
            <w:rFonts w:ascii="Times New Roman" w:hAnsi="Times New Roman"/>
            <w:sz w:val="24"/>
            <w:szCs w:val="24"/>
            <w:lang w:val="en-GB"/>
          </w:rPr>
          <w:t>viciasullo@unisa.it</w:t>
        </w:r>
      </w:hyperlink>
    </w:p>
    <w:p w:rsidR="00243328" w:rsidRPr="007F4548" w:rsidRDefault="00243328" w:rsidP="001D4132">
      <w:pPr>
        <w:spacing w:after="0" w:line="240" w:lineRule="auto"/>
        <w:rPr>
          <w:rFonts w:ascii="Times New Roman" w:hAnsi="Times New Roman"/>
          <w:b/>
          <w:i/>
          <w:sz w:val="24"/>
          <w:szCs w:val="24"/>
          <w:lang w:val="en-GB" w:eastAsia="it-IT"/>
        </w:rPr>
      </w:pPr>
    </w:p>
    <w:p w:rsidR="000A431C" w:rsidRPr="007F4548" w:rsidRDefault="000A431C" w:rsidP="00191F9B">
      <w:pPr>
        <w:spacing w:after="0" w:line="240" w:lineRule="auto"/>
        <w:jc w:val="center"/>
        <w:rPr>
          <w:rFonts w:ascii="Times New Roman" w:hAnsi="Times New Roman"/>
          <w:b/>
          <w:i/>
          <w:sz w:val="24"/>
          <w:szCs w:val="24"/>
          <w:lang w:val="en-GB" w:eastAsia="it-IT"/>
        </w:rPr>
      </w:pPr>
    </w:p>
    <w:p w:rsidR="00191F9B" w:rsidRPr="007F4548" w:rsidRDefault="00EB3D08" w:rsidP="00191F9B">
      <w:pPr>
        <w:spacing w:after="0" w:line="240" w:lineRule="auto"/>
        <w:jc w:val="center"/>
        <w:rPr>
          <w:rFonts w:ascii="Times New Roman" w:hAnsi="Times New Roman"/>
          <w:b/>
          <w:i/>
          <w:sz w:val="24"/>
          <w:szCs w:val="24"/>
          <w:lang w:val="en-GB" w:eastAsia="it-IT"/>
        </w:rPr>
      </w:pPr>
      <w:r w:rsidRPr="007F4548">
        <w:rPr>
          <w:rFonts w:ascii="Times New Roman" w:hAnsi="Times New Roman"/>
          <w:b/>
          <w:i/>
          <w:sz w:val="24"/>
          <w:szCs w:val="24"/>
          <w:lang w:val="en-GB" w:eastAsia="it-IT"/>
        </w:rPr>
        <w:t>Rocco Palumbo</w:t>
      </w:r>
    </w:p>
    <w:p w:rsidR="00191F9B" w:rsidRPr="007F4548" w:rsidRDefault="00191F9B" w:rsidP="00191F9B">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 xml:space="preserve">Department of </w:t>
      </w:r>
      <w:r w:rsidR="00EB3D08" w:rsidRPr="007F4548">
        <w:rPr>
          <w:rFonts w:ascii="Times New Roman" w:hAnsi="Times New Roman"/>
          <w:sz w:val="24"/>
          <w:szCs w:val="24"/>
          <w:lang w:val="en-GB" w:eastAsia="it-IT"/>
        </w:rPr>
        <w:t>Management &amp; Innovation Systems</w:t>
      </w:r>
    </w:p>
    <w:p w:rsidR="00191F9B" w:rsidRPr="007F4548" w:rsidRDefault="00191F9B" w:rsidP="00191F9B">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 xml:space="preserve">University of </w:t>
      </w:r>
      <w:r w:rsidR="00EB3D08" w:rsidRPr="007F4548">
        <w:rPr>
          <w:rFonts w:ascii="Times New Roman" w:hAnsi="Times New Roman"/>
          <w:sz w:val="24"/>
          <w:szCs w:val="24"/>
          <w:lang w:val="en-GB" w:eastAsia="it-IT"/>
        </w:rPr>
        <w:t>Salerno</w:t>
      </w:r>
      <w:r w:rsidRPr="007F4548">
        <w:rPr>
          <w:rFonts w:ascii="Times New Roman" w:hAnsi="Times New Roman"/>
          <w:sz w:val="24"/>
          <w:szCs w:val="24"/>
          <w:lang w:val="en-GB" w:eastAsia="it-IT"/>
        </w:rPr>
        <w:t xml:space="preserve"> (</w:t>
      </w:r>
      <w:r w:rsidR="00EB3D08" w:rsidRPr="007F4548">
        <w:rPr>
          <w:rFonts w:ascii="Times New Roman" w:hAnsi="Times New Roman"/>
          <w:sz w:val="24"/>
          <w:szCs w:val="24"/>
          <w:lang w:val="en-GB" w:eastAsia="it-IT"/>
        </w:rPr>
        <w:t>Italy</w:t>
      </w:r>
      <w:r w:rsidRPr="007F4548">
        <w:rPr>
          <w:rFonts w:ascii="Times New Roman" w:hAnsi="Times New Roman"/>
          <w:sz w:val="24"/>
          <w:szCs w:val="24"/>
          <w:lang w:val="en-GB" w:eastAsia="it-IT"/>
        </w:rPr>
        <w:t>)</w:t>
      </w:r>
    </w:p>
    <w:p w:rsidR="00191F9B" w:rsidRDefault="00191F9B" w:rsidP="00191F9B">
      <w:pPr>
        <w:spacing w:after="0" w:line="240" w:lineRule="auto"/>
        <w:jc w:val="center"/>
        <w:rPr>
          <w:rFonts w:ascii="Times New Roman" w:hAnsi="Times New Roman"/>
          <w:sz w:val="24"/>
          <w:szCs w:val="24"/>
          <w:lang w:val="en-GB" w:eastAsia="it-IT"/>
        </w:rPr>
      </w:pPr>
      <w:r w:rsidRPr="007F4548">
        <w:rPr>
          <w:rFonts w:ascii="Times New Roman" w:hAnsi="Times New Roman"/>
          <w:sz w:val="24"/>
          <w:szCs w:val="24"/>
          <w:lang w:val="en-GB" w:eastAsia="it-IT"/>
        </w:rPr>
        <w:t xml:space="preserve">Email </w:t>
      </w:r>
      <w:hyperlink r:id="rId12" w:history="1">
        <w:r w:rsidR="001D4132" w:rsidRPr="00F3336D">
          <w:rPr>
            <w:rStyle w:val="Lienhypertexte"/>
            <w:rFonts w:ascii="Times New Roman" w:hAnsi="Times New Roman"/>
            <w:sz w:val="24"/>
            <w:szCs w:val="24"/>
            <w:lang w:val="en-GB" w:eastAsia="it-IT"/>
          </w:rPr>
          <w:t>rpalumbo@unisa.it</w:t>
        </w:r>
      </w:hyperlink>
    </w:p>
    <w:p w:rsidR="001D4132" w:rsidRPr="007F4548" w:rsidRDefault="001D4132" w:rsidP="00191F9B">
      <w:pPr>
        <w:spacing w:after="0" w:line="240" w:lineRule="auto"/>
        <w:jc w:val="center"/>
        <w:rPr>
          <w:rFonts w:ascii="Times New Roman" w:hAnsi="Times New Roman"/>
          <w:sz w:val="24"/>
          <w:szCs w:val="24"/>
          <w:lang w:val="en-GB" w:eastAsia="it-IT"/>
        </w:rPr>
      </w:pPr>
    </w:p>
    <w:p w:rsidR="00191F9B" w:rsidRPr="007F4548" w:rsidRDefault="00191F9B" w:rsidP="00191F9B">
      <w:pPr>
        <w:spacing w:after="0" w:line="240" w:lineRule="auto"/>
        <w:jc w:val="center"/>
        <w:rPr>
          <w:rFonts w:ascii="Times New Roman" w:hAnsi="Times New Roman"/>
          <w:i/>
          <w:sz w:val="24"/>
          <w:szCs w:val="24"/>
          <w:u w:val="single"/>
          <w:lang w:val="en-GB" w:eastAsia="it-IT"/>
        </w:rPr>
      </w:pPr>
      <w:r w:rsidRPr="007F4548">
        <w:rPr>
          <w:rFonts w:ascii="Times New Roman" w:hAnsi="Times New Roman"/>
          <w:i/>
          <w:sz w:val="24"/>
          <w:szCs w:val="24"/>
          <w:u w:val="single"/>
          <w:lang w:val="en-GB" w:eastAsia="it-IT"/>
        </w:rPr>
        <w:t>Corresponding Author</w:t>
      </w:r>
    </w:p>
    <w:p w:rsidR="00191F9B" w:rsidRPr="007F4548" w:rsidRDefault="00191F9B" w:rsidP="00243328">
      <w:pPr>
        <w:spacing w:after="0" w:line="240" w:lineRule="auto"/>
        <w:rPr>
          <w:rFonts w:ascii="Times New Roman" w:hAnsi="Times New Roman"/>
          <w:b/>
          <w:sz w:val="24"/>
          <w:szCs w:val="24"/>
          <w:lang w:val="en-GB"/>
        </w:rPr>
      </w:pPr>
    </w:p>
    <w:p w:rsidR="000A431C" w:rsidRPr="007F4548" w:rsidRDefault="000A431C" w:rsidP="00191F9B">
      <w:pPr>
        <w:spacing w:after="0" w:line="240" w:lineRule="auto"/>
        <w:jc w:val="both"/>
        <w:rPr>
          <w:rFonts w:ascii="Times New Roman" w:hAnsi="Times New Roman"/>
          <w:b/>
          <w:sz w:val="24"/>
          <w:szCs w:val="24"/>
          <w:lang w:val="en-GB"/>
        </w:rPr>
      </w:pPr>
    </w:p>
    <w:p w:rsidR="00191F9B" w:rsidRPr="007F4548" w:rsidRDefault="00191F9B" w:rsidP="00191F9B">
      <w:pPr>
        <w:spacing w:after="0" w:line="240" w:lineRule="auto"/>
        <w:jc w:val="both"/>
        <w:rPr>
          <w:rFonts w:ascii="Times New Roman" w:hAnsi="Times New Roman"/>
          <w:b/>
          <w:sz w:val="24"/>
          <w:szCs w:val="24"/>
          <w:lang w:val="en-GB"/>
        </w:rPr>
      </w:pPr>
    </w:p>
    <w:p w:rsidR="00191F9B" w:rsidRPr="007F4548" w:rsidRDefault="00191F9B" w:rsidP="00191F9B">
      <w:pPr>
        <w:spacing w:after="0" w:line="240" w:lineRule="auto"/>
        <w:jc w:val="both"/>
        <w:rPr>
          <w:rFonts w:ascii="Times New Roman" w:hAnsi="Times New Roman"/>
          <w:b/>
          <w:sz w:val="24"/>
          <w:szCs w:val="24"/>
          <w:lang w:val="en-GB"/>
        </w:rPr>
      </w:pPr>
    </w:p>
    <w:p w:rsidR="00191F9B" w:rsidRPr="007F4548" w:rsidRDefault="00870C23" w:rsidP="00191F9B">
      <w:pPr>
        <w:spacing w:after="0" w:line="240" w:lineRule="auto"/>
        <w:jc w:val="both"/>
        <w:rPr>
          <w:rFonts w:ascii="Times New Roman" w:hAnsi="Times New Roman"/>
          <w:b/>
          <w:sz w:val="28"/>
          <w:szCs w:val="24"/>
          <w:lang w:val="en-GB" w:eastAsia="it-IT"/>
        </w:rPr>
      </w:pPr>
      <w:r w:rsidRPr="007F4548">
        <w:rPr>
          <w:rFonts w:ascii="Times New Roman" w:hAnsi="Times New Roman"/>
          <w:b/>
          <w:sz w:val="28"/>
          <w:szCs w:val="24"/>
          <w:lang w:val="en-GB" w:eastAsia="it-IT"/>
        </w:rPr>
        <w:t>Abstract</w:t>
      </w:r>
    </w:p>
    <w:p w:rsidR="00191F9B" w:rsidRPr="007F4548" w:rsidRDefault="00191F9B" w:rsidP="00191F9B">
      <w:pPr>
        <w:spacing w:after="0" w:line="240" w:lineRule="auto"/>
        <w:jc w:val="both"/>
        <w:rPr>
          <w:rFonts w:ascii="Times New Roman" w:hAnsi="Times New Roman"/>
          <w:sz w:val="24"/>
          <w:szCs w:val="24"/>
          <w:lang w:val="en-GB" w:eastAsia="it-IT"/>
        </w:rPr>
      </w:pPr>
    </w:p>
    <w:p w:rsidR="00191F9B" w:rsidRPr="007F4548" w:rsidRDefault="007808B8"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b/>
          <w:sz w:val="24"/>
          <w:szCs w:val="24"/>
          <w:lang w:val="en-GB" w:eastAsia="it-IT"/>
        </w:rPr>
        <w:t>Purpose of the paper</w:t>
      </w:r>
      <w:r w:rsidRPr="007F4548">
        <w:rPr>
          <w:rFonts w:ascii="Times New Roman" w:hAnsi="Times New Roman"/>
          <w:sz w:val="24"/>
          <w:szCs w:val="24"/>
          <w:lang w:val="en-GB" w:eastAsia="it-IT"/>
        </w:rPr>
        <w:t xml:space="preserve">: </w:t>
      </w:r>
      <w:r w:rsidR="000A431C" w:rsidRPr="007F4548">
        <w:rPr>
          <w:rFonts w:ascii="Times New Roman" w:hAnsi="Times New Roman"/>
          <w:sz w:val="24"/>
          <w:szCs w:val="24"/>
          <w:lang w:val="en-GB" w:eastAsia="it-IT"/>
        </w:rPr>
        <w:t>Value has a variety of meanings in the Higher Education context. In fact, different stakeholders generally hold diverging perspectives about the drivers of value generated by Higher Education Institutions (HEI). This paper investigates the value perceptions of two strictly related categories of HEIs’ stakeholders: students and academics. Comparing their perspectives, the article suggests several conceptual and practical insights to realize excellence in the provision of higher education services</w:t>
      </w:r>
      <w:r w:rsidRPr="007F4548">
        <w:rPr>
          <w:rFonts w:ascii="Times New Roman" w:hAnsi="Times New Roman"/>
          <w:sz w:val="24"/>
          <w:szCs w:val="24"/>
          <w:lang w:val="en-GB" w:eastAsia="it-IT"/>
        </w:rPr>
        <w:t>.</w:t>
      </w:r>
    </w:p>
    <w:p w:rsidR="00191F9B" w:rsidRPr="007F4548" w:rsidRDefault="00360539"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b/>
          <w:sz w:val="24"/>
          <w:szCs w:val="24"/>
          <w:lang w:val="en-GB" w:eastAsia="it-IT"/>
        </w:rPr>
        <w:t>Methodology</w:t>
      </w:r>
      <w:r w:rsidRPr="007F4548">
        <w:rPr>
          <w:rFonts w:ascii="Times New Roman" w:hAnsi="Times New Roman"/>
          <w:sz w:val="24"/>
          <w:szCs w:val="24"/>
          <w:lang w:val="en-GB" w:eastAsia="it-IT"/>
        </w:rPr>
        <w:t xml:space="preserve">: </w:t>
      </w:r>
      <w:r w:rsidR="000A431C" w:rsidRPr="007F4548">
        <w:rPr>
          <w:rFonts w:ascii="Times New Roman" w:hAnsi="Times New Roman"/>
          <w:sz w:val="24"/>
          <w:szCs w:val="24"/>
          <w:lang w:val="en-GB" w:eastAsia="it-IT"/>
        </w:rPr>
        <w:t xml:space="preserve">A case study approach was undertaken. A medium-sized public university located in the North of Italy was the subject of the analysis. A mixed, quali-quantitative study </w:t>
      </w:r>
      <w:r w:rsidR="000A431C" w:rsidRPr="007F4548">
        <w:rPr>
          <w:rFonts w:ascii="Times New Roman" w:hAnsi="Times New Roman"/>
          <w:sz w:val="24"/>
          <w:szCs w:val="24"/>
          <w:lang w:val="en-GB" w:eastAsia="it-IT"/>
        </w:rPr>
        <w:lastRenderedPageBreak/>
        <w:t>design was arranged to collect first-hand data about the value perceptions of 2,572 students and 232 academics affiliated with the case university. Descriptive statistics were used to compare the students and academics’ value perceptions; besides, a regression analysis permitted to illuminate the drivers of higher education service quality</w:t>
      </w:r>
      <w:r w:rsidRPr="007F4548">
        <w:rPr>
          <w:rFonts w:ascii="Times New Roman" w:hAnsi="Times New Roman"/>
          <w:sz w:val="24"/>
          <w:szCs w:val="24"/>
          <w:lang w:val="en-GB" w:eastAsia="it-IT"/>
        </w:rPr>
        <w:t>.</w:t>
      </w:r>
    </w:p>
    <w:p w:rsidR="00191F9B" w:rsidRPr="007F4548" w:rsidRDefault="00870C23"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b/>
          <w:sz w:val="24"/>
          <w:szCs w:val="24"/>
          <w:lang w:val="en-GB" w:eastAsia="it-IT"/>
        </w:rPr>
        <w:t>Main Findings</w:t>
      </w:r>
      <w:r w:rsidRPr="007F4548">
        <w:rPr>
          <w:rFonts w:ascii="Times New Roman" w:hAnsi="Times New Roman"/>
          <w:sz w:val="24"/>
          <w:szCs w:val="24"/>
          <w:lang w:val="en-GB" w:eastAsia="it-IT"/>
        </w:rPr>
        <w:t xml:space="preserve">: </w:t>
      </w:r>
      <w:r w:rsidR="000A431C" w:rsidRPr="007F4548">
        <w:rPr>
          <w:rFonts w:ascii="Times New Roman" w:hAnsi="Times New Roman"/>
          <w:sz w:val="24"/>
          <w:szCs w:val="24"/>
          <w:lang w:val="en-GB" w:eastAsia="it-IT"/>
        </w:rPr>
        <w:t>Even though students and academics agreed on various value drivers, several diverging perspectives emerged. On the one hand, students were found to attach greater emphasis on the enrichment of the traditional learning offering delivered by the university with laboratories, apprenticeships, and empirical activities intended to improve their practical skills and attitudes, beyond their knowledge. On the other hand, academics were primarily interested in the internationalization of the institution and in the enhancement of the inter-organizational relationships between the university and its business stakeholders</w:t>
      </w:r>
      <w:r w:rsidRPr="007F4548">
        <w:rPr>
          <w:rFonts w:ascii="Times New Roman" w:hAnsi="Times New Roman"/>
          <w:sz w:val="24"/>
          <w:szCs w:val="24"/>
          <w:lang w:val="en-GB" w:eastAsia="it-IT"/>
        </w:rPr>
        <w:t>.</w:t>
      </w:r>
    </w:p>
    <w:p w:rsidR="00191F9B" w:rsidRPr="007F4548" w:rsidRDefault="00870C23"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b/>
          <w:sz w:val="24"/>
          <w:szCs w:val="24"/>
          <w:lang w:val="en-GB" w:eastAsia="it-IT"/>
        </w:rPr>
        <w:t>Practical implications</w:t>
      </w:r>
      <w:r w:rsidRPr="007F4548">
        <w:rPr>
          <w:rFonts w:ascii="Times New Roman" w:hAnsi="Times New Roman"/>
          <w:sz w:val="24"/>
          <w:szCs w:val="24"/>
          <w:lang w:val="en-GB" w:eastAsia="it-IT"/>
        </w:rPr>
        <w:t xml:space="preserve">: </w:t>
      </w:r>
      <w:r w:rsidR="000A431C" w:rsidRPr="007F4548">
        <w:rPr>
          <w:rFonts w:ascii="Times New Roman" w:hAnsi="Times New Roman"/>
          <w:sz w:val="24"/>
          <w:szCs w:val="24"/>
          <w:lang w:val="en-GB" w:eastAsia="it-IT"/>
        </w:rPr>
        <w:t>Students and academics participate in co-generating the value produced by HEIs. From this standpoint, the ability to establish a bridge between their diverging expectations and perceptions is crucial to increase the quality and the perceived value of higher education services</w:t>
      </w:r>
      <w:r w:rsidR="00191F9B" w:rsidRPr="007F4548">
        <w:rPr>
          <w:rFonts w:ascii="Times New Roman" w:hAnsi="Times New Roman"/>
          <w:sz w:val="24"/>
          <w:szCs w:val="24"/>
          <w:lang w:val="en-GB" w:eastAsia="it-IT"/>
        </w:rPr>
        <w:t>.</w:t>
      </w:r>
    </w:p>
    <w:p w:rsidR="00870C23" w:rsidRPr="007F4548" w:rsidRDefault="00870C23"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b/>
          <w:sz w:val="24"/>
          <w:szCs w:val="24"/>
          <w:lang w:val="en-GB" w:eastAsia="it-IT"/>
        </w:rPr>
        <w:t>Originality/value</w:t>
      </w:r>
      <w:r w:rsidRPr="007F4548">
        <w:rPr>
          <w:rFonts w:ascii="Times New Roman" w:hAnsi="Times New Roman"/>
          <w:sz w:val="24"/>
          <w:szCs w:val="24"/>
          <w:lang w:val="en-GB" w:eastAsia="it-IT"/>
        </w:rPr>
        <w:t xml:space="preserve">: </w:t>
      </w:r>
      <w:r w:rsidR="000A431C" w:rsidRPr="007F4548">
        <w:rPr>
          <w:rFonts w:ascii="Times New Roman" w:hAnsi="Times New Roman"/>
          <w:sz w:val="24"/>
          <w:szCs w:val="24"/>
          <w:lang w:val="en-GB" w:eastAsia="it-IT"/>
        </w:rPr>
        <w:t>The article compares the value perceptions and expectations of students and academics, triggering further conceptual and practical developments.</w:t>
      </w:r>
    </w:p>
    <w:p w:rsidR="00191F9B" w:rsidRPr="007F4548" w:rsidRDefault="00191F9B" w:rsidP="00191F9B">
      <w:pPr>
        <w:spacing w:after="0" w:line="240" w:lineRule="auto"/>
        <w:jc w:val="both"/>
        <w:rPr>
          <w:rFonts w:ascii="Times New Roman" w:hAnsi="Times New Roman"/>
          <w:sz w:val="24"/>
          <w:szCs w:val="24"/>
          <w:lang w:val="en-GB" w:eastAsia="it-IT"/>
        </w:rPr>
      </w:pPr>
    </w:p>
    <w:p w:rsidR="000A431C" w:rsidRPr="007F4548" w:rsidRDefault="000A431C" w:rsidP="00191F9B">
      <w:pPr>
        <w:spacing w:after="0" w:line="240" w:lineRule="auto"/>
        <w:jc w:val="both"/>
        <w:rPr>
          <w:rFonts w:ascii="Times New Roman" w:hAnsi="Times New Roman"/>
          <w:sz w:val="24"/>
          <w:szCs w:val="24"/>
          <w:lang w:val="en-GB" w:eastAsia="it-IT"/>
        </w:rPr>
      </w:pPr>
    </w:p>
    <w:p w:rsidR="000A431C" w:rsidRPr="007F4548" w:rsidRDefault="000A431C" w:rsidP="000A431C">
      <w:pPr>
        <w:spacing w:after="0" w:line="240" w:lineRule="auto"/>
        <w:jc w:val="both"/>
        <w:rPr>
          <w:rFonts w:ascii="Times New Roman" w:hAnsi="Times New Roman"/>
          <w:b/>
          <w:sz w:val="24"/>
          <w:szCs w:val="24"/>
          <w:lang w:val="en-GB"/>
        </w:rPr>
      </w:pPr>
      <w:r w:rsidRPr="007F4548">
        <w:rPr>
          <w:rFonts w:ascii="Times New Roman" w:hAnsi="Times New Roman"/>
          <w:b/>
          <w:sz w:val="24"/>
          <w:szCs w:val="24"/>
          <w:lang w:val="en-GB"/>
        </w:rPr>
        <w:t xml:space="preserve">Type of paper: </w:t>
      </w:r>
      <w:r w:rsidRPr="007F4548">
        <w:rPr>
          <w:rFonts w:ascii="Times New Roman" w:hAnsi="Times New Roman"/>
          <w:sz w:val="24"/>
          <w:szCs w:val="24"/>
          <w:lang w:val="en-GB"/>
        </w:rPr>
        <w:t>Research paper</w:t>
      </w:r>
    </w:p>
    <w:p w:rsidR="000A431C" w:rsidRPr="007F4548" w:rsidRDefault="000A431C" w:rsidP="000A431C">
      <w:pPr>
        <w:jc w:val="both"/>
        <w:rPr>
          <w:rFonts w:ascii="Times New Roman" w:hAnsi="Times New Roman"/>
          <w:i/>
          <w:sz w:val="24"/>
          <w:szCs w:val="24"/>
          <w:lang w:val="en-GB" w:eastAsia="it-IT"/>
        </w:rPr>
      </w:pPr>
    </w:p>
    <w:p w:rsidR="000A431C" w:rsidRPr="007F4548" w:rsidRDefault="000A431C" w:rsidP="000A431C">
      <w:pPr>
        <w:spacing w:after="0" w:line="240" w:lineRule="auto"/>
        <w:jc w:val="both"/>
        <w:rPr>
          <w:rFonts w:ascii="Times New Roman" w:hAnsi="Times New Roman"/>
          <w:b/>
          <w:sz w:val="24"/>
          <w:szCs w:val="24"/>
          <w:lang w:val="en-GB"/>
        </w:rPr>
      </w:pPr>
      <w:r w:rsidRPr="007F4548">
        <w:rPr>
          <w:rFonts w:ascii="Times New Roman" w:hAnsi="Times New Roman"/>
          <w:b/>
          <w:sz w:val="24"/>
          <w:szCs w:val="24"/>
          <w:lang w:val="en-GB"/>
        </w:rPr>
        <w:t>Keywords</w:t>
      </w:r>
    </w:p>
    <w:p w:rsidR="00191F9B" w:rsidRPr="007F4548" w:rsidRDefault="000A431C" w:rsidP="00191F9B">
      <w:pPr>
        <w:spacing w:after="0" w:line="240" w:lineRule="auto"/>
        <w:jc w:val="both"/>
        <w:rPr>
          <w:rFonts w:ascii="Times New Roman" w:hAnsi="Times New Roman"/>
          <w:sz w:val="24"/>
          <w:szCs w:val="24"/>
          <w:lang w:val="en-GB" w:eastAsia="it-IT"/>
        </w:rPr>
      </w:pPr>
      <w:r w:rsidRPr="007F4548">
        <w:rPr>
          <w:rFonts w:ascii="Times New Roman" w:hAnsi="Times New Roman"/>
          <w:sz w:val="24"/>
          <w:szCs w:val="24"/>
          <w:lang w:val="en-GB" w:eastAsia="it-IT"/>
        </w:rPr>
        <w:t>Higher education; Service quality; Value drivers; Students; University</w:t>
      </w:r>
    </w:p>
    <w:p w:rsidR="00191F9B" w:rsidRPr="007F4548" w:rsidRDefault="00191F9B" w:rsidP="00191F9B">
      <w:pPr>
        <w:spacing w:after="0" w:line="240" w:lineRule="auto"/>
        <w:jc w:val="both"/>
        <w:rPr>
          <w:rFonts w:ascii="Times New Roman" w:hAnsi="Times New Roman"/>
          <w:sz w:val="24"/>
          <w:szCs w:val="24"/>
          <w:lang w:val="en-GB" w:eastAsia="it-IT"/>
        </w:rPr>
      </w:pPr>
    </w:p>
    <w:p w:rsidR="00191F9B" w:rsidRPr="007F4548" w:rsidRDefault="00191F9B" w:rsidP="00B76932">
      <w:pPr>
        <w:pStyle w:val="Titre1"/>
        <w:numPr>
          <w:ilvl w:val="0"/>
          <w:numId w:val="5"/>
        </w:numPr>
        <w:ind w:left="284" w:hanging="284"/>
        <w:rPr>
          <w:rFonts w:ascii="Times New Roman" w:hAnsi="Times New Roman" w:cs="Times New Roman"/>
          <w:b/>
          <w:color w:val="000000" w:themeColor="text1"/>
          <w:sz w:val="24"/>
          <w:szCs w:val="24"/>
          <w:lang w:val="en-GB" w:eastAsia="it-IT"/>
        </w:rPr>
      </w:pPr>
      <w:r w:rsidRPr="007F4548">
        <w:rPr>
          <w:lang w:val="en-GB"/>
        </w:rPr>
        <w:br w:type="page"/>
      </w:r>
      <w:r w:rsidR="00B76932" w:rsidRPr="007F4548">
        <w:rPr>
          <w:rFonts w:ascii="Times New Roman" w:hAnsi="Times New Roman" w:cs="Times New Roman"/>
          <w:b/>
          <w:color w:val="000000" w:themeColor="text1"/>
          <w:sz w:val="24"/>
          <w:szCs w:val="24"/>
          <w:lang w:val="en-GB"/>
        </w:rPr>
        <w:lastRenderedPageBreak/>
        <w:t>Introduction</w:t>
      </w:r>
    </w:p>
    <w:p w:rsidR="00191F9B" w:rsidRPr="007F4548" w:rsidRDefault="00191F9B" w:rsidP="00191F9B">
      <w:pPr>
        <w:spacing w:after="0" w:line="240" w:lineRule="auto"/>
        <w:jc w:val="both"/>
        <w:rPr>
          <w:rFonts w:ascii="Times New Roman" w:hAnsi="Times New Roman"/>
          <w:sz w:val="24"/>
          <w:szCs w:val="24"/>
          <w:lang w:val="en-GB" w:eastAsia="it-IT"/>
        </w:rPr>
      </w:pPr>
    </w:p>
    <w:p w:rsidR="00B76932" w:rsidRPr="007F4548" w:rsidRDefault="00B76932" w:rsidP="00E97172">
      <w:pPr>
        <w:pStyle w:val="Titre2"/>
        <w:spacing w:before="60" w:after="60"/>
        <w:rPr>
          <w:rFonts w:ascii="Times New Roman" w:hAnsi="Times New Roman" w:cs="Times New Roman"/>
          <w:i/>
          <w:color w:val="000000" w:themeColor="text1"/>
          <w:sz w:val="24"/>
          <w:lang w:val="en-GB" w:eastAsia="it-IT"/>
        </w:rPr>
      </w:pPr>
      <w:r w:rsidRPr="007F4548">
        <w:rPr>
          <w:rFonts w:ascii="Times New Roman" w:hAnsi="Times New Roman" w:cs="Times New Roman"/>
          <w:i/>
          <w:color w:val="000000" w:themeColor="text1"/>
          <w:sz w:val="24"/>
          <w:lang w:val="en-GB" w:eastAsia="it-IT"/>
        </w:rPr>
        <w:t>1.1 Background</w:t>
      </w:r>
    </w:p>
    <w:p w:rsidR="00062B37" w:rsidRPr="007F4548" w:rsidRDefault="00040066"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Educational services are inherently coprodu</w:t>
      </w:r>
      <w:bookmarkStart w:id="0" w:name="_GoBack"/>
      <w:bookmarkEnd w:id="0"/>
      <w:r w:rsidRPr="007F4548">
        <w:rPr>
          <w:rFonts w:ascii="Times New Roman" w:hAnsi="Times New Roman"/>
          <w:sz w:val="24"/>
          <w:szCs w:val="24"/>
          <w:lang w:val="en-GB" w:eastAsia="it-IT"/>
        </w:rPr>
        <w:t>ced by students and academics, who perform as value co-creators</w:t>
      </w:r>
      <w:r w:rsidR="000E035F" w:rsidRPr="007F4548">
        <w:rPr>
          <w:rFonts w:ascii="Times New Roman" w:hAnsi="Times New Roman"/>
          <w:sz w:val="24"/>
          <w:szCs w:val="24"/>
          <w:lang w:val="en-GB" w:eastAsia="it-IT"/>
        </w:rPr>
        <w:t xml:space="preserve"> during the whole service encounter</w:t>
      </w:r>
      <w:r w:rsidR="002B58FF" w:rsidRPr="007F4548">
        <w:rPr>
          <w:rFonts w:ascii="Times New Roman" w:hAnsi="Times New Roman"/>
          <w:sz w:val="24"/>
          <w:szCs w:val="24"/>
          <w:lang w:val="en-GB" w:eastAsia="it-IT"/>
        </w:rPr>
        <w:t xml:space="preserve"> (Brandsen et al., 2018)</w:t>
      </w:r>
      <w:r w:rsidR="00A70FC4" w:rsidRPr="007F4548">
        <w:rPr>
          <w:rFonts w:ascii="Times New Roman" w:hAnsi="Times New Roman"/>
          <w:sz w:val="24"/>
          <w:szCs w:val="24"/>
          <w:lang w:val="en-GB" w:eastAsia="it-IT"/>
        </w:rPr>
        <w:t>.</w:t>
      </w:r>
      <w:r w:rsidRPr="007F4548">
        <w:rPr>
          <w:rFonts w:ascii="Times New Roman" w:hAnsi="Times New Roman"/>
          <w:sz w:val="24"/>
          <w:szCs w:val="24"/>
          <w:lang w:val="en-GB" w:eastAsia="it-IT"/>
        </w:rPr>
        <w:t xml:space="preserve"> Even though they have been generally handled as two different constructs, service co-production and value co-creation </w:t>
      </w:r>
      <w:r w:rsidR="000E035F" w:rsidRPr="007F4548">
        <w:rPr>
          <w:rFonts w:ascii="Times New Roman" w:hAnsi="Times New Roman"/>
          <w:sz w:val="24"/>
          <w:szCs w:val="24"/>
          <w:lang w:val="en-GB" w:eastAsia="it-IT"/>
        </w:rPr>
        <w:t>have been argued to be</w:t>
      </w:r>
      <w:r w:rsidRPr="007F4548">
        <w:rPr>
          <w:rFonts w:ascii="Times New Roman" w:hAnsi="Times New Roman"/>
          <w:sz w:val="24"/>
          <w:szCs w:val="24"/>
          <w:lang w:val="en-GB" w:eastAsia="it-IT"/>
        </w:rPr>
        <w:t xml:space="preserve"> strictly interrelated</w:t>
      </w:r>
      <w:r w:rsidR="00B917F6" w:rsidRPr="007F4548">
        <w:rPr>
          <w:rFonts w:ascii="Times New Roman" w:hAnsi="Times New Roman"/>
          <w:sz w:val="24"/>
          <w:szCs w:val="24"/>
          <w:lang w:val="en-GB" w:eastAsia="it-IT"/>
        </w:rPr>
        <w:t xml:space="preserve"> (Ordanini and Pasini, 2008)</w:t>
      </w:r>
      <w:r w:rsidRPr="007F4548">
        <w:rPr>
          <w:rFonts w:ascii="Times New Roman" w:hAnsi="Times New Roman"/>
          <w:sz w:val="24"/>
          <w:szCs w:val="24"/>
          <w:lang w:val="en-GB" w:eastAsia="it-IT"/>
        </w:rPr>
        <w:t xml:space="preserve">. On the one hand, service co-production </w:t>
      </w:r>
      <w:r w:rsidR="002B58FF" w:rsidRPr="007F4548">
        <w:rPr>
          <w:rFonts w:ascii="Times New Roman" w:hAnsi="Times New Roman"/>
          <w:sz w:val="24"/>
          <w:szCs w:val="24"/>
          <w:lang w:val="en-GB" w:eastAsia="it-IT"/>
        </w:rPr>
        <w:t>could be understood as the involvement of individual citizens and</w:t>
      </w:r>
      <w:r w:rsidR="00561276" w:rsidRPr="007F4548">
        <w:rPr>
          <w:rFonts w:ascii="Times New Roman" w:hAnsi="Times New Roman"/>
          <w:sz w:val="24"/>
          <w:szCs w:val="24"/>
          <w:lang w:val="en-GB" w:eastAsia="it-IT"/>
        </w:rPr>
        <w:t>/or</w:t>
      </w:r>
      <w:r w:rsidR="002B58FF" w:rsidRPr="007F4548">
        <w:rPr>
          <w:rFonts w:ascii="Times New Roman" w:hAnsi="Times New Roman"/>
          <w:sz w:val="24"/>
          <w:szCs w:val="24"/>
          <w:lang w:val="en-GB" w:eastAsia="it-IT"/>
        </w:rPr>
        <w:t xml:space="preserve"> groups </w:t>
      </w:r>
      <w:r w:rsidR="00561276" w:rsidRPr="007F4548">
        <w:rPr>
          <w:rFonts w:ascii="Times New Roman" w:hAnsi="Times New Roman"/>
          <w:sz w:val="24"/>
          <w:szCs w:val="24"/>
          <w:lang w:val="en-GB" w:eastAsia="it-IT"/>
        </w:rPr>
        <w:t xml:space="preserve">of citizens </w:t>
      </w:r>
      <w:r w:rsidR="002B58FF" w:rsidRPr="007F4548">
        <w:rPr>
          <w:rFonts w:ascii="Times New Roman" w:hAnsi="Times New Roman"/>
          <w:sz w:val="24"/>
          <w:szCs w:val="24"/>
          <w:lang w:val="en-GB" w:eastAsia="it-IT"/>
        </w:rPr>
        <w:t xml:space="preserve">in </w:t>
      </w:r>
      <w:r w:rsidR="000E035F" w:rsidRPr="007F4548">
        <w:rPr>
          <w:rFonts w:ascii="Times New Roman" w:hAnsi="Times New Roman"/>
          <w:sz w:val="24"/>
          <w:szCs w:val="24"/>
          <w:lang w:val="en-GB" w:eastAsia="it-IT"/>
        </w:rPr>
        <w:t>co-</w:t>
      </w:r>
      <w:r w:rsidR="002B58FF" w:rsidRPr="007F4548">
        <w:rPr>
          <w:rFonts w:ascii="Times New Roman" w:hAnsi="Times New Roman"/>
          <w:sz w:val="24"/>
          <w:szCs w:val="24"/>
          <w:lang w:val="en-GB" w:eastAsia="it-IT"/>
        </w:rPr>
        <w:t xml:space="preserve">planning, </w:t>
      </w:r>
      <w:r w:rsidR="000E035F" w:rsidRPr="007F4548">
        <w:rPr>
          <w:rFonts w:ascii="Times New Roman" w:hAnsi="Times New Roman"/>
          <w:sz w:val="24"/>
          <w:szCs w:val="24"/>
          <w:lang w:val="en-GB" w:eastAsia="it-IT"/>
        </w:rPr>
        <w:t>co-</w:t>
      </w:r>
      <w:r w:rsidR="002B58FF" w:rsidRPr="007F4548">
        <w:rPr>
          <w:rFonts w:ascii="Times New Roman" w:hAnsi="Times New Roman"/>
          <w:sz w:val="24"/>
          <w:szCs w:val="24"/>
          <w:lang w:val="en-GB" w:eastAsia="it-IT"/>
        </w:rPr>
        <w:t xml:space="preserve">designing, and </w:t>
      </w:r>
      <w:r w:rsidR="000E035F" w:rsidRPr="007F4548">
        <w:rPr>
          <w:rFonts w:ascii="Times New Roman" w:hAnsi="Times New Roman"/>
          <w:sz w:val="24"/>
          <w:szCs w:val="24"/>
          <w:lang w:val="en-GB" w:eastAsia="it-IT"/>
        </w:rPr>
        <w:t>co-</w:t>
      </w:r>
      <w:r w:rsidR="002B58FF" w:rsidRPr="007F4548">
        <w:rPr>
          <w:rFonts w:ascii="Times New Roman" w:hAnsi="Times New Roman"/>
          <w:sz w:val="24"/>
          <w:szCs w:val="24"/>
          <w:lang w:val="en-GB" w:eastAsia="it-IT"/>
        </w:rPr>
        <w:t>delivering services</w:t>
      </w:r>
      <w:r w:rsidR="00561276" w:rsidRPr="007F4548">
        <w:rPr>
          <w:rFonts w:ascii="Times New Roman" w:hAnsi="Times New Roman"/>
          <w:sz w:val="24"/>
          <w:szCs w:val="24"/>
          <w:lang w:val="en-GB" w:eastAsia="it-IT"/>
        </w:rPr>
        <w:t xml:space="preserve"> (Verschuere et al., 2012)</w:t>
      </w:r>
      <w:r w:rsidRPr="007F4548">
        <w:rPr>
          <w:rFonts w:ascii="Times New Roman" w:hAnsi="Times New Roman"/>
          <w:sz w:val="24"/>
          <w:szCs w:val="24"/>
          <w:lang w:val="en-GB" w:eastAsia="it-IT"/>
        </w:rPr>
        <w:t>; on the other hand, value co-creation</w:t>
      </w:r>
      <w:r w:rsidR="00B917F6" w:rsidRPr="007F4548">
        <w:rPr>
          <w:rFonts w:ascii="Times New Roman" w:hAnsi="Times New Roman"/>
          <w:sz w:val="24"/>
          <w:szCs w:val="24"/>
          <w:lang w:val="en-GB" w:eastAsia="it-IT"/>
        </w:rPr>
        <w:t xml:space="preserve"> is </w:t>
      </w:r>
      <w:r w:rsidR="000E035F" w:rsidRPr="007F4548">
        <w:rPr>
          <w:rFonts w:ascii="Times New Roman" w:hAnsi="Times New Roman"/>
          <w:sz w:val="24"/>
          <w:szCs w:val="24"/>
          <w:lang w:val="en-GB" w:eastAsia="it-IT"/>
        </w:rPr>
        <w:t>established</w:t>
      </w:r>
      <w:r w:rsidR="00B917F6" w:rsidRPr="007F4548">
        <w:rPr>
          <w:rFonts w:ascii="Times New Roman" w:hAnsi="Times New Roman"/>
          <w:sz w:val="24"/>
          <w:szCs w:val="24"/>
          <w:lang w:val="en-GB" w:eastAsia="it-IT"/>
        </w:rPr>
        <w:t xml:space="preserve"> on the premise that</w:t>
      </w:r>
      <w:r w:rsidR="00062B37" w:rsidRPr="007F4548">
        <w:rPr>
          <w:rFonts w:ascii="Times New Roman" w:hAnsi="Times New Roman"/>
          <w:sz w:val="24"/>
          <w:szCs w:val="24"/>
          <w:lang w:val="en-GB" w:eastAsia="it-IT"/>
        </w:rPr>
        <w:t xml:space="preserve"> “</w:t>
      </w:r>
      <w:r w:rsidR="00062B37" w:rsidRPr="007F4548">
        <w:rPr>
          <w:rFonts w:ascii="Times New Roman" w:hAnsi="Times New Roman"/>
          <w:i/>
          <w:sz w:val="24"/>
          <w:szCs w:val="24"/>
          <w:lang w:val="en-GB" w:eastAsia="it-IT"/>
        </w:rPr>
        <w:t>…under certain circumstances the service provider gets opportunities to co-create value together with its customers…</w:t>
      </w:r>
      <w:r w:rsidR="00062B37" w:rsidRPr="007F4548">
        <w:rPr>
          <w:rFonts w:ascii="Times New Roman" w:hAnsi="Times New Roman"/>
          <w:sz w:val="24"/>
          <w:szCs w:val="24"/>
          <w:lang w:val="en-GB" w:eastAsia="it-IT"/>
        </w:rPr>
        <w:t>”</w:t>
      </w:r>
      <w:r w:rsidR="00B917F6" w:rsidRPr="007F4548">
        <w:rPr>
          <w:rFonts w:ascii="Times New Roman" w:hAnsi="Times New Roman"/>
          <w:sz w:val="24"/>
          <w:szCs w:val="24"/>
          <w:lang w:val="en-GB" w:eastAsia="it-IT"/>
        </w:rPr>
        <w:t xml:space="preserve"> </w:t>
      </w:r>
      <w:r w:rsidR="00062B37" w:rsidRPr="007F4548">
        <w:rPr>
          <w:rFonts w:ascii="Times New Roman" w:hAnsi="Times New Roman"/>
          <w:sz w:val="24"/>
          <w:szCs w:val="24"/>
          <w:lang w:val="en-GB" w:eastAsia="it-IT"/>
        </w:rPr>
        <w:t>(Grönroos, 2011, p. 279)</w:t>
      </w:r>
      <w:r w:rsidRPr="007F4548">
        <w:rPr>
          <w:rFonts w:ascii="Times New Roman" w:hAnsi="Times New Roman"/>
          <w:sz w:val="24"/>
          <w:szCs w:val="24"/>
          <w:lang w:val="en-GB" w:eastAsia="it-IT"/>
        </w:rPr>
        <w:t>.</w:t>
      </w:r>
      <w:r w:rsidR="00062B37" w:rsidRPr="007F4548">
        <w:rPr>
          <w:rFonts w:ascii="Times New Roman" w:hAnsi="Times New Roman"/>
          <w:sz w:val="24"/>
          <w:szCs w:val="24"/>
          <w:lang w:val="en-GB" w:eastAsia="it-IT"/>
        </w:rPr>
        <w:t xml:space="preserve"> From this point of view, the implementation of service co-production can be </w:t>
      </w:r>
      <w:r w:rsidR="00E82CDD" w:rsidRPr="007F4548">
        <w:rPr>
          <w:rFonts w:ascii="Times New Roman" w:hAnsi="Times New Roman"/>
          <w:sz w:val="24"/>
          <w:szCs w:val="24"/>
          <w:lang w:val="en-GB" w:eastAsia="it-IT"/>
        </w:rPr>
        <w:t>conceived of as an opportunity for value co-creation</w:t>
      </w:r>
      <w:r w:rsidR="00D079A2" w:rsidRPr="007F4548">
        <w:rPr>
          <w:rFonts w:ascii="Times New Roman" w:hAnsi="Times New Roman"/>
          <w:sz w:val="24"/>
          <w:szCs w:val="24"/>
          <w:lang w:val="en-GB" w:eastAsia="it-IT"/>
        </w:rPr>
        <w:t xml:space="preserve"> (Ranjan and Read, 2016)</w:t>
      </w:r>
      <w:r w:rsidR="000E035F" w:rsidRPr="007F4548">
        <w:rPr>
          <w:rFonts w:ascii="Times New Roman" w:hAnsi="Times New Roman"/>
          <w:sz w:val="24"/>
          <w:szCs w:val="24"/>
          <w:lang w:val="en-GB" w:eastAsia="it-IT"/>
        </w:rPr>
        <w:t>.</w:t>
      </w:r>
      <w:r w:rsidR="00D079A2" w:rsidRPr="007F4548">
        <w:rPr>
          <w:rFonts w:ascii="Times New Roman" w:hAnsi="Times New Roman"/>
          <w:sz w:val="24"/>
          <w:szCs w:val="24"/>
          <w:lang w:val="en-GB" w:eastAsia="it-IT"/>
        </w:rPr>
        <w:t xml:space="preserve"> </w:t>
      </w:r>
      <w:r w:rsidR="000E035F" w:rsidRPr="007F4548">
        <w:rPr>
          <w:rFonts w:ascii="Times New Roman" w:hAnsi="Times New Roman"/>
          <w:sz w:val="24"/>
          <w:szCs w:val="24"/>
          <w:lang w:val="en-GB" w:eastAsia="it-IT"/>
        </w:rPr>
        <w:t>I</w:t>
      </w:r>
      <w:r w:rsidR="00D079A2" w:rsidRPr="007F4548">
        <w:rPr>
          <w:rFonts w:ascii="Times New Roman" w:hAnsi="Times New Roman"/>
          <w:sz w:val="24"/>
          <w:szCs w:val="24"/>
          <w:lang w:val="en-GB" w:eastAsia="it-IT"/>
        </w:rPr>
        <w:t>n fact, it allows to</w:t>
      </w:r>
      <w:r w:rsidR="00E82CDD" w:rsidRPr="007F4548">
        <w:rPr>
          <w:rFonts w:ascii="Times New Roman" w:hAnsi="Times New Roman"/>
          <w:sz w:val="24"/>
          <w:szCs w:val="24"/>
          <w:lang w:val="en-GB" w:eastAsia="it-IT"/>
        </w:rPr>
        <w:t xml:space="preserve"> engag</w:t>
      </w:r>
      <w:r w:rsidR="00D079A2" w:rsidRPr="007F4548">
        <w:rPr>
          <w:rFonts w:ascii="Times New Roman" w:hAnsi="Times New Roman"/>
          <w:sz w:val="24"/>
          <w:szCs w:val="24"/>
          <w:lang w:val="en-GB" w:eastAsia="it-IT"/>
        </w:rPr>
        <w:t>e</w:t>
      </w:r>
      <w:r w:rsidR="00E82CDD" w:rsidRPr="007F4548">
        <w:rPr>
          <w:rFonts w:ascii="Times New Roman" w:hAnsi="Times New Roman"/>
          <w:sz w:val="24"/>
          <w:szCs w:val="24"/>
          <w:lang w:val="en-GB" w:eastAsia="it-IT"/>
        </w:rPr>
        <w:t xml:space="preserve"> users and providers in a joint effort </w:t>
      </w:r>
      <w:r w:rsidR="000E035F" w:rsidRPr="007F4548">
        <w:rPr>
          <w:rFonts w:ascii="Times New Roman" w:hAnsi="Times New Roman"/>
          <w:sz w:val="24"/>
          <w:szCs w:val="24"/>
          <w:lang w:val="en-GB" w:eastAsia="it-IT"/>
        </w:rPr>
        <w:t>which significantly</w:t>
      </w:r>
      <w:r w:rsidR="00E82CDD" w:rsidRPr="007F4548">
        <w:rPr>
          <w:rFonts w:ascii="Times New Roman" w:hAnsi="Times New Roman"/>
          <w:sz w:val="24"/>
          <w:szCs w:val="24"/>
          <w:lang w:val="en-GB" w:eastAsia="it-IT"/>
        </w:rPr>
        <w:t xml:space="preserve"> increase</w:t>
      </w:r>
      <w:r w:rsidR="000E035F" w:rsidRPr="007F4548">
        <w:rPr>
          <w:rFonts w:ascii="Times New Roman" w:hAnsi="Times New Roman"/>
          <w:sz w:val="24"/>
          <w:szCs w:val="24"/>
          <w:lang w:val="en-GB" w:eastAsia="it-IT"/>
        </w:rPr>
        <w:t>s</w:t>
      </w:r>
      <w:r w:rsidR="00E82CDD" w:rsidRPr="007F4548">
        <w:rPr>
          <w:rFonts w:ascii="Times New Roman" w:hAnsi="Times New Roman"/>
          <w:sz w:val="24"/>
          <w:szCs w:val="24"/>
          <w:lang w:val="en-GB" w:eastAsia="it-IT"/>
        </w:rPr>
        <w:t xml:space="preserve"> their ability to effectively use available resources and to get better outcomes from their interaction (Ciasullo et al., 2017). </w:t>
      </w:r>
    </w:p>
    <w:p w:rsidR="00191F9B" w:rsidRPr="007F4548" w:rsidRDefault="00B8162F"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 xml:space="preserve">As far as educational services are concerned, co-production </w:t>
      </w:r>
      <w:r w:rsidR="000E035F" w:rsidRPr="007F4548">
        <w:rPr>
          <w:rFonts w:ascii="Times New Roman" w:hAnsi="Times New Roman"/>
          <w:sz w:val="24"/>
          <w:szCs w:val="24"/>
          <w:lang w:val="en-GB" w:eastAsia="it-IT"/>
        </w:rPr>
        <w:t>engenders</w:t>
      </w:r>
      <w:r w:rsidR="00766297" w:rsidRPr="007F4548">
        <w:rPr>
          <w:rFonts w:ascii="Times New Roman" w:hAnsi="Times New Roman"/>
          <w:sz w:val="24"/>
          <w:szCs w:val="24"/>
          <w:lang w:val="en-GB" w:eastAsia="it-IT"/>
        </w:rPr>
        <w:t xml:space="preserve"> the participation of direct and/or indirect users in the design and delivery of both primary educational services and ancillary services</w:t>
      </w:r>
      <w:r w:rsidR="00EF5BB5" w:rsidRPr="007F4548">
        <w:rPr>
          <w:rFonts w:ascii="Times New Roman" w:hAnsi="Times New Roman"/>
          <w:sz w:val="24"/>
          <w:szCs w:val="24"/>
          <w:lang w:val="en-GB" w:eastAsia="it-IT"/>
        </w:rPr>
        <w:t xml:space="preserve"> in an attempt to </w:t>
      </w:r>
      <w:r w:rsidR="00E700AA" w:rsidRPr="007F4548">
        <w:rPr>
          <w:rFonts w:ascii="Times New Roman" w:hAnsi="Times New Roman"/>
          <w:sz w:val="24"/>
          <w:szCs w:val="24"/>
          <w:lang w:val="en-GB" w:eastAsia="it-IT"/>
        </w:rPr>
        <w:t>improve</w:t>
      </w:r>
      <w:r w:rsidR="00EF5BB5" w:rsidRPr="007F4548">
        <w:rPr>
          <w:rFonts w:ascii="Times New Roman" w:hAnsi="Times New Roman"/>
          <w:sz w:val="24"/>
          <w:szCs w:val="24"/>
          <w:lang w:val="en-GB" w:eastAsia="it-IT"/>
        </w:rPr>
        <w:t xml:space="preserve"> the value generated during the service encounter</w:t>
      </w:r>
      <w:r w:rsidR="00A5449A" w:rsidRPr="007F4548">
        <w:rPr>
          <w:rFonts w:ascii="Times New Roman" w:hAnsi="Times New Roman"/>
          <w:sz w:val="24"/>
          <w:szCs w:val="24"/>
          <w:lang w:val="en-GB" w:eastAsia="it-IT"/>
        </w:rPr>
        <w:t xml:space="preserve"> (Jakobsen and Andersen, 2013)</w:t>
      </w:r>
      <w:r w:rsidR="00766297" w:rsidRPr="007F4548">
        <w:rPr>
          <w:rFonts w:ascii="Times New Roman" w:hAnsi="Times New Roman"/>
          <w:sz w:val="24"/>
          <w:szCs w:val="24"/>
          <w:lang w:val="en-GB" w:eastAsia="it-IT"/>
        </w:rPr>
        <w:t>.</w:t>
      </w:r>
      <w:r w:rsidR="00D079A2" w:rsidRPr="007F4548">
        <w:rPr>
          <w:rFonts w:ascii="Times New Roman" w:hAnsi="Times New Roman"/>
          <w:sz w:val="24"/>
          <w:szCs w:val="24"/>
          <w:lang w:val="en-GB" w:eastAsia="it-IT"/>
        </w:rPr>
        <w:t xml:space="preserve"> First, users could be empowered and involved in defining the attributes of educational services</w:t>
      </w:r>
      <w:r w:rsidR="00E700AA" w:rsidRPr="007F4548">
        <w:rPr>
          <w:rFonts w:ascii="Times New Roman" w:hAnsi="Times New Roman"/>
          <w:sz w:val="24"/>
          <w:szCs w:val="24"/>
          <w:lang w:val="en-GB" w:eastAsia="it-IT"/>
        </w:rPr>
        <w:t xml:space="preserve"> and in co-delivering them</w:t>
      </w:r>
      <w:r w:rsidR="00D079A2" w:rsidRPr="007F4548">
        <w:rPr>
          <w:rFonts w:ascii="Times New Roman" w:hAnsi="Times New Roman"/>
          <w:sz w:val="24"/>
          <w:szCs w:val="24"/>
          <w:lang w:val="en-GB" w:eastAsia="it-IT"/>
        </w:rPr>
        <w:t xml:space="preserve"> in collaboration with providers, in an attempt to realize student-centred </w:t>
      </w:r>
      <w:r w:rsidR="00EF5BB5" w:rsidRPr="007F4548">
        <w:rPr>
          <w:rFonts w:ascii="Times New Roman" w:hAnsi="Times New Roman"/>
          <w:sz w:val="24"/>
          <w:szCs w:val="24"/>
          <w:lang w:val="en-GB" w:eastAsia="it-IT"/>
        </w:rPr>
        <w:t>learning processes</w:t>
      </w:r>
      <w:r w:rsidR="00F975D2" w:rsidRPr="007F4548">
        <w:rPr>
          <w:rFonts w:ascii="Times New Roman" w:hAnsi="Times New Roman"/>
          <w:sz w:val="24"/>
          <w:szCs w:val="24"/>
          <w:lang w:val="en-GB" w:eastAsia="it-IT"/>
        </w:rPr>
        <w:t xml:space="preserve"> (Coates and McCormick, 2014)</w:t>
      </w:r>
      <w:r w:rsidR="00EF5BB5" w:rsidRPr="007F4548">
        <w:rPr>
          <w:rFonts w:ascii="Times New Roman" w:hAnsi="Times New Roman"/>
          <w:sz w:val="24"/>
          <w:szCs w:val="24"/>
          <w:lang w:val="en-GB" w:eastAsia="it-IT"/>
        </w:rPr>
        <w:t>. Second, users may cooperate in the design</w:t>
      </w:r>
      <w:r w:rsidR="00E700AA" w:rsidRPr="007F4548">
        <w:rPr>
          <w:rFonts w:ascii="Times New Roman" w:hAnsi="Times New Roman"/>
          <w:sz w:val="24"/>
          <w:szCs w:val="24"/>
          <w:lang w:val="en-GB" w:eastAsia="it-IT"/>
        </w:rPr>
        <w:t xml:space="preserve"> and co-provision</w:t>
      </w:r>
      <w:r w:rsidR="00EF5BB5" w:rsidRPr="007F4548">
        <w:rPr>
          <w:rFonts w:ascii="Times New Roman" w:hAnsi="Times New Roman"/>
          <w:sz w:val="24"/>
          <w:szCs w:val="24"/>
          <w:lang w:val="en-GB" w:eastAsia="it-IT"/>
        </w:rPr>
        <w:t xml:space="preserve"> of secondary services, such as meal preparation and</w:t>
      </w:r>
      <w:r w:rsidR="00595B53" w:rsidRPr="007F4548">
        <w:rPr>
          <w:rFonts w:ascii="Times New Roman" w:hAnsi="Times New Roman"/>
          <w:sz w:val="24"/>
          <w:szCs w:val="24"/>
          <w:lang w:val="en-GB" w:eastAsia="it-IT"/>
        </w:rPr>
        <w:t xml:space="preserve"> maintenance of green areas</w:t>
      </w:r>
      <w:r w:rsidR="00F975D2" w:rsidRPr="007F4548">
        <w:rPr>
          <w:rFonts w:ascii="Times New Roman" w:hAnsi="Times New Roman"/>
          <w:sz w:val="24"/>
          <w:szCs w:val="24"/>
          <w:lang w:val="en-GB" w:eastAsia="it-IT"/>
        </w:rPr>
        <w:t xml:space="preserve"> (Palumbo et al., 2018): this permits </w:t>
      </w:r>
      <w:r w:rsidR="00A5449A" w:rsidRPr="007F4548">
        <w:rPr>
          <w:rFonts w:ascii="Times New Roman" w:hAnsi="Times New Roman"/>
          <w:sz w:val="24"/>
          <w:szCs w:val="24"/>
          <w:lang w:val="en-GB" w:eastAsia="it-IT"/>
        </w:rPr>
        <w:t xml:space="preserve">to </w:t>
      </w:r>
      <w:r w:rsidR="00E700AA" w:rsidRPr="007F4548">
        <w:rPr>
          <w:rFonts w:ascii="Times New Roman" w:hAnsi="Times New Roman"/>
          <w:sz w:val="24"/>
          <w:szCs w:val="24"/>
          <w:lang w:val="en-GB" w:eastAsia="it-IT"/>
        </w:rPr>
        <w:t>increase</w:t>
      </w:r>
      <w:r w:rsidR="00A5449A" w:rsidRPr="007F4548">
        <w:rPr>
          <w:rFonts w:ascii="Times New Roman" w:hAnsi="Times New Roman"/>
          <w:sz w:val="24"/>
          <w:szCs w:val="24"/>
          <w:lang w:val="en-GB" w:eastAsia="it-IT"/>
        </w:rPr>
        <w:t xml:space="preserve"> their social identification with the educational institution and to</w:t>
      </w:r>
      <w:r w:rsidR="00F975D2" w:rsidRPr="007F4548">
        <w:rPr>
          <w:rFonts w:ascii="Times New Roman" w:hAnsi="Times New Roman"/>
          <w:sz w:val="24"/>
          <w:szCs w:val="24"/>
          <w:lang w:val="en-GB" w:eastAsia="it-IT"/>
        </w:rPr>
        <w:t xml:space="preserve"> boost their commitment</w:t>
      </w:r>
      <w:r w:rsidR="004C6B90" w:rsidRPr="007F4548">
        <w:rPr>
          <w:rFonts w:ascii="Times New Roman" w:hAnsi="Times New Roman"/>
          <w:sz w:val="24"/>
          <w:szCs w:val="24"/>
          <w:lang w:val="en-GB" w:eastAsia="it-IT"/>
        </w:rPr>
        <w:t xml:space="preserve"> to the learning processes delivered by the educational institution (Boscardin and Jacobson, 1997). Whatever the focus of service co-production and the extent of value co-creation in the educational context, the establishment of a co-creating relationship between users and providers require that they adopt </w:t>
      </w:r>
      <w:r w:rsidR="00B739A8" w:rsidRPr="007F4548">
        <w:rPr>
          <w:rFonts w:ascii="Times New Roman" w:hAnsi="Times New Roman"/>
          <w:sz w:val="24"/>
          <w:szCs w:val="24"/>
          <w:lang w:val="en-GB" w:eastAsia="it-IT"/>
        </w:rPr>
        <w:t>non-conflicting perspectives and expectations</w:t>
      </w:r>
      <w:r w:rsidR="00E700AA" w:rsidRPr="007F4548">
        <w:rPr>
          <w:rFonts w:ascii="Times New Roman" w:hAnsi="Times New Roman"/>
          <w:sz w:val="24"/>
          <w:szCs w:val="24"/>
          <w:lang w:val="en-GB" w:eastAsia="it-IT"/>
        </w:rPr>
        <w:t xml:space="preserve"> (Echeverri and Skålén, 2011):</w:t>
      </w:r>
      <w:r w:rsidR="00B739A8" w:rsidRPr="007F4548">
        <w:rPr>
          <w:rFonts w:ascii="Times New Roman" w:hAnsi="Times New Roman"/>
          <w:sz w:val="24"/>
          <w:szCs w:val="24"/>
          <w:lang w:val="en-GB" w:eastAsia="it-IT"/>
        </w:rPr>
        <w:t xml:space="preserve"> th</w:t>
      </w:r>
      <w:r w:rsidR="00E700AA" w:rsidRPr="007F4548">
        <w:rPr>
          <w:rFonts w:ascii="Times New Roman" w:hAnsi="Times New Roman"/>
          <w:sz w:val="24"/>
          <w:szCs w:val="24"/>
          <w:lang w:val="en-GB" w:eastAsia="it-IT"/>
        </w:rPr>
        <w:t>is</w:t>
      </w:r>
      <w:r w:rsidR="00B739A8" w:rsidRPr="007F4548">
        <w:rPr>
          <w:rFonts w:ascii="Times New Roman" w:hAnsi="Times New Roman"/>
          <w:sz w:val="24"/>
          <w:szCs w:val="24"/>
          <w:lang w:val="en-GB" w:eastAsia="it-IT"/>
        </w:rPr>
        <w:t xml:space="preserve"> minimiz</w:t>
      </w:r>
      <w:r w:rsidR="00E700AA" w:rsidRPr="007F4548">
        <w:rPr>
          <w:rFonts w:ascii="Times New Roman" w:hAnsi="Times New Roman"/>
          <w:sz w:val="24"/>
          <w:szCs w:val="24"/>
          <w:lang w:val="en-GB" w:eastAsia="it-IT"/>
        </w:rPr>
        <w:t>es</w:t>
      </w:r>
      <w:r w:rsidR="00B739A8" w:rsidRPr="007F4548">
        <w:rPr>
          <w:rFonts w:ascii="Times New Roman" w:hAnsi="Times New Roman"/>
          <w:sz w:val="24"/>
          <w:szCs w:val="24"/>
          <w:lang w:val="en-GB" w:eastAsia="it-IT"/>
        </w:rPr>
        <w:t xml:space="preserve"> the risk that their interaction turn</w:t>
      </w:r>
      <w:r w:rsidR="00E700AA" w:rsidRPr="007F4548">
        <w:rPr>
          <w:rFonts w:ascii="Times New Roman" w:hAnsi="Times New Roman"/>
          <w:sz w:val="24"/>
          <w:szCs w:val="24"/>
          <w:lang w:val="en-GB" w:eastAsia="it-IT"/>
        </w:rPr>
        <w:t>s</w:t>
      </w:r>
      <w:r w:rsidR="00B739A8" w:rsidRPr="007F4548">
        <w:rPr>
          <w:rFonts w:ascii="Times New Roman" w:hAnsi="Times New Roman"/>
          <w:sz w:val="24"/>
          <w:szCs w:val="24"/>
          <w:lang w:val="en-GB" w:eastAsia="it-IT"/>
        </w:rPr>
        <w:t xml:space="preserve"> into value co-destruction (Plé and Cáceres, 2010).</w:t>
      </w:r>
    </w:p>
    <w:p w:rsidR="001E7EFE" w:rsidRPr="007F4548" w:rsidRDefault="001E7EFE"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Service co-production and value co-creation are especially relevant in the higher education context</w:t>
      </w:r>
      <w:r w:rsidR="00851C75" w:rsidRPr="007F4548">
        <w:rPr>
          <w:rFonts w:ascii="Times New Roman" w:hAnsi="Times New Roman"/>
          <w:sz w:val="24"/>
          <w:szCs w:val="24"/>
          <w:lang w:val="en-GB" w:eastAsia="it-IT"/>
        </w:rPr>
        <w:t xml:space="preserve"> (Hilton et al., 2012): actually, the complexity of higher educational services require a profound and continuous integration of the resources variously provided by the institution, the academic staff, and the students (Díaz‐Méndez and Gummesson, 2012). </w:t>
      </w:r>
      <w:r w:rsidR="00C34451" w:rsidRPr="007F4548">
        <w:rPr>
          <w:rFonts w:ascii="Times New Roman" w:hAnsi="Times New Roman"/>
          <w:sz w:val="24"/>
          <w:szCs w:val="24"/>
          <w:lang w:val="en-GB" w:eastAsia="it-IT"/>
        </w:rPr>
        <w:t>Obviously, t</w:t>
      </w:r>
      <w:r w:rsidR="00851C75" w:rsidRPr="007F4548">
        <w:rPr>
          <w:rFonts w:ascii="Times New Roman" w:hAnsi="Times New Roman"/>
          <w:sz w:val="24"/>
          <w:szCs w:val="24"/>
          <w:lang w:val="en-GB" w:eastAsia="it-IT"/>
        </w:rPr>
        <w:t>he effective integration of the resources brought in the service encounter by academics and students relies on the educational institutions’ ability to create a bridge between these actors, fostering their ability to participate in value co-creation</w:t>
      </w:r>
      <w:r w:rsidR="00114409" w:rsidRPr="007F4548">
        <w:rPr>
          <w:rFonts w:ascii="Times New Roman" w:hAnsi="Times New Roman"/>
          <w:sz w:val="24"/>
          <w:szCs w:val="24"/>
          <w:lang w:val="en-GB" w:eastAsia="it-IT"/>
        </w:rPr>
        <w:t xml:space="preserve"> (Hau and Thuy, 2016)</w:t>
      </w:r>
      <w:r w:rsidR="00C34451" w:rsidRPr="007F4548">
        <w:rPr>
          <w:rFonts w:ascii="Times New Roman" w:hAnsi="Times New Roman"/>
          <w:sz w:val="24"/>
          <w:szCs w:val="24"/>
          <w:lang w:val="en-GB" w:eastAsia="it-IT"/>
        </w:rPr>
        <w:t xml:space="preserve">: this requires the implementation of proper organizational models and sound institutional arrangements, which sets the condition for the establishment of a co-creating </w:t>
      </w:r>
      <w:r w:rsidR="00114409" w:rsidRPr="007F4548">
        <w:rPr>
          <w:rFonts w:ascii="Times New Roman" w:hAnsi="Times New Roman"/>
          <w:sz w:val="24"/>
          <w:szCs w:val="24"/>
          <w:lang w:val="en-GB" w:eastAsia="it-IT"/>
        </w:rPr>
        <w:t>relationship</w:t>
      </w:r>
      <w:r w:rsidR="00C34451" w:rsidRPr="007F4548">
        <w:rPr>
          <w:rFonts w:ascii="Times New Roman" w:hAnsi="Times New Roman"/>
          <w:sz w:val="24"/>
          <w:szCs w:val="24"/>
          <w:lang w:val="en-GB" w:eastAsia="it-IT"/>
        </w:rPr>
        <w:t xml:space="preserve"> between users and providers (Baron and Warnaby, 2011)</w:t>
      </w:r>
      <w:r w:rsidR="00851C75" w:rsidRPr="007F4548">
        <w:rPr>
          <w:rFonts w:ascii="Times New Roman" w:hAnsi="Times New Roman"/>
          <w:sz w:val="24"/>
          <w:szCs w:val="24"/>
          <w:lang w:val="en-GB" w:eastAsia="it-IT"/>
        </w:rPr>
        <w:t>.</w:t>
      </w:r>
    </w:p>
    <w:p w:rsidR="007A7860" w:rsidRPr="007F4548" w:rsidRDefault="007A7860" w:rsidP="00191F9B">
      <w:pPr>
        <w:spacing w:after="0" w:line="240" w:lineRule="auto"/>
        <w:ind w:firstLine="284"/>
        <w:jc w:val="both"/>
        <w:rPr>
          <w:rFonts w:ascii="Times New Roman" w:hAnsi="Times New Roman"/>
          <w:sz w:val="24"/>
          <w:szCs w:val="24"/>
          <w:lang w:val="en-GB" w:eastAsia="it-IT"/>
        </w:rPr>
      </w:pPr>
    </w:p>
    <w:p w:rsidR="00A70FC4" w:rsidRPr="007F4548" w:rsidRDefault="00A70FC4" w:rsidP="00191F9B">
      <w:pPr>
        <w:spacing w:after="0" w:line="240" w:lineRule="auto"/>
        <w:ind w:firstLine="284"/>
        <w:jc w:val="both"/>
        <w:rPr>
          <w:rFonts w:ascii="Times New Roman" w:hAnsi="Times New Roman"/>
          <w:sz w:val="24"/>
          <w:szCs w:val="24"/>
          <w:lang w:val="en-GB" w:eastAsia="it-IT"/>
        </w:rPr>
      </w:pPr>
    </w:p>
    <w:p w:rsidR="007A7860" w:rsidRPr="007F4548" w:rsidRDefault="007A7860" w:rsidP="00E97172">
      <w:pPr>
        <w:pStyle w:val="Titre2"/>
        <w:spacing w:before="60" w:after="60"/>
        <w:rPr>
          <w:rFonts w:ascii="Times New Roman" w:hAnsi="Times New Roman" w:cs="Times New Roman"/>
          <w:i/>
          <w:color w:val="000000" w:themeColor="text1"/>
          <w:sz w:val="24"/>
          <w:lang w:val="en-GB" w:eastAsia="it-IT"/>
        </w:rPr>
      </w:pPr>
      <w:r w:rsidRPr="007F4548">
        <w:rPr>
          <w:rFonts w:ascii="Times New Roman" w:hAnsi="Times New Roman" w:cs="Times New Roman"/>
          <w:i/>
          <w:color w:val="000000" w:themeColor="text1"/>
          <w:sz w:val="24"/>
          <w:lang w:val="en-GB" w:eastAsia="it-IT"/>
        </w:rPr>
        <w:t xml:space="preserve">1.2 </w:t>
      </w:r>
      <w:r w:rsidR="000A431C" w:rsidRPr="007F4548">
        <w:rPr>
          <w:rFonts w:ascii="Times New Roman" w:hAnsi="Times New Roman" w:cs="Times New Roman"/>
          <w:i/>
          <w:color w:val="000000" w:themeColor="text1"/>
          <w:sz w:val="24"/>
          <w:lang w:val="en-GB" w:eastAsia="it-IT"/>
        </w:rPr>
        <w:t>Study</w:t>
      </w:r>
      <w:r w:rsidRPr="007F4548">
        <w:rPr>
          <w:rFonts w:ascii="Times New Roman" w:hAnsi="Times New Roman" w:cs="Times New Roman"/>
          <w:i/>
          <w:color w:val="000000" w:themeColor="text1"/>
          <w:sz w:val="24"/>
          <w:lang w:val="en-GB" w:eastAsia="it-IT"/>
        </w:rPr>
        <w:t xml:space="preserve"> rationale</w:t>
      </w:r>
      <w:r w:rsidR="000A431C" w:rsidRPr="007F4548">
        <w:rPr>
          <w:rFonts w:ascii="Times New Roman" w:hAnsi="Times New Roman" w:cs="Times New Roman"/>
          <w:i/>
          <w:color w:val="000000" w:themeColor="text1"/>
          <w:sz w:val="24"/>
          <w:lang w:val="en-GB" w:eastAsia="it-IT"/>
        </w:rPr>
        <w:t xml:space="preserve"> and research questions</w:t>
      </w:r>
    </w:p>
    <w:p w:rsidR="007A7860" w:rsidRPr="007F4548" w:rsidRDefault="00181651"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 xml:space="preserve">Scholars have variously tried to investigate the triggers and the implications of students’ involvement and engagement in the higher education context (see, </w:t>
      </w:r>
      <w:r w:rsidRPr="007F4548">
        <w:rPr>
          <w:rFonts w:ascii="Times New Roman" w:hAnsi="Times New Roman"/>
          <w:i/>
          <w:sz w:val="24"/>
          <w:szCs w:val="24"/>
          <w:lang w:val="en-GB" w:eastAsia="it-IT"/>
        </w:rPr>
        <w:t>inter alia</w:t>
      </w:r>
      <w:r w:rsidRPr="007F4548">
        <w:rPr>
          <w:rFonts w:ascii="Times New Roman" w:hAnsi="Times New Roman"/>
          <w:sz w:val="24"/>
          <w:szCs w:val="24"/>
          <w:lang w:val="en-GB" w:eastAsia="it-IT"/>
        </w:rPr>
        <w:t xml:space="preserve">, Bringle and Hatcher, 1996; Brooman et al., 2015; Bryson, 2016; Barnacle and Dall’Alba, 2017; </w:t>
      </w:r>
      <w:r w:rsidRPr="007F4548">
        <w:rPr>
          <w:rFonts w:ascii="Times New Roman" w:hAnsi="Times New Roman"/>
          <w:sz w:val="24"/>
          <w:szCs w:val="24"/>
          <w:lang w:val="en-GB" w:eastAsia="it-IT"/>
        </w:rPr>
        <w:lastRenderedPageBreak/>
        <w:t>Bendermacher et al., 2017).</w:t>
      </w:r>
      <w:r w:rsidR="00BC7025" w:rsidRPr="007F4548">
        <w:rPr>
          <w:rFonts w:ascii="Times New Roman" w:hAnsi="Times New Roman"/>
          <w:sz w:val="24"/>
          <w:szCs w:val="24"/>
          <w:lang w:val="en-GB" w:eastAsia="it-IT"/>
        </w:rPr>
        <w:t xml:space="preserve"> In fact, students’ participation in the design and delivery of educational services has been widely identified as a fundamental ingredient of the recipe for innovative and more effective educational services, which emphasize the democratization of learning processes (Bergmark and Westman, 2018). </w:t>
      </w:r>
      <w:r w:rsidR="007E1A3F" w:rsidRPr="007F4548">
        <w:rPr>
          <w:rFonts w:ascii="Times New Roman" w:hAnsi="Times New Roman"/>
          <w:sz w:val="24"/>
          <w:szCs w:val="24"/>
          <w:lang w:val="en-GB" w:eastAsia="it-IT"/>
        </w:rPr>
        <w:t xml:space="preserve">However, whilst an increasing attention has been paid to the institutional antecedents of students’ involvement in co-designing and co-delivering learning activities and to the approaches and technologies which are expected to enable the </w:t>
      </w:r>
      <w:r w:rsidR="00900589" w:rsidRPr="007F4548">
        <w:rPr>
          <w:rFonts w:ascii="Times New Roman" w:hAnsi="Times New Roman"/>
          <w:sz w:val="24"/>
          <w:szCs w:val="24"/>
          <w:lang w:val="en-GB" w:eastAsia="it-IT"/>
        </w:rPr>
        <w:t>engagement</w:t>
      </w:r>
      <w:r w:rsidR="007E1A3F" w:rsidRPr="007F4548">
        <w:rPr>
          <w:rFonts w:ascii="Times New Roman" w:hAnsi="Times New Roman"/>
          <w:sz w:val="24"/>
          <w:szCs w:val="24"/>
          <w:lang w:val="en-GB" w:eastAsia="it-IT"/>
        </w:rPr>
        <w:t xml:space="preserve"> of students in value co-creation (Shaw and Lowe, 2017; Martens et al., 2019), relatively less attention has been paid to the</w:t>
      </w:r>
      <w:r w:rsidR="00EB04ED" w:rsidRPr="007F4548">
        <w:rPr>
          <w:rFonts w:ascii="Times New Roman" w:hAnsi="Times New Roman"/>
          <w:sz w:val="24"/>
          <w:szCs w:val="24"/>
          <w:lang w:val="en-GB" w:eastAsia="it-IT"/>
        </w:rPr>
        <w:t xml:space="preserve"> effects and implications of students and academics perspectives on service quality and value on their ability to </w:t>
      </w:r>
      <w:r w:rsidR="00900589" w:rsidRPr="007F4548">
        <w:rPr>
          <w:rFonts w:ascii="Times New Roman" w:hAnsi="Times New Roman"/>
          <w:sz w:val="24"/>
          <w:szCs w:val="24"/>
          <w:lang w:val="en-GB" w:eastAsia="it-IT"/>
        </w:rPr>
        <w:t>participate in value co-creation (Jungblut et al., 2015; Nair</w:t>
      </w:r>
      <w:r w:rsidR="002A5D9F" w:rsidRPr="007F4548">
        <w:rPr>
          <w:rFonts w:ascii="Times New Roman" w:hAnsi="Times New Roman"/>
          <w:sz w:val="24"/>
          <w:szCs w:val="24"/>
          <w:lang w:val="en-GB" w:eastAsia="it-IT"/>
        </w:rPr>
        <w:t xml:space="preserve"> et al.</w:t>
      </w:r>
      <w:r w:rsidR="00900589" w:rsidRPr="007F4548">
        <w:rPr>
          <w:rFonts w:ascii="Times New Roman" w:hAnsi="Times New Roman"/>
          <w:sz w:val="24"/>
          <w:szCs w:val="24"/>
          <w:lang w:val="en-GB" w:eastAsia="it-IT"/>
        </w:rPr>
        <w:t>, 2015; Kalfa and Taksa, 2017; Burden et al., 2018). This paper aims at contributing in filling the existing gap in the scientific literature: first, it tries to illuminate the value expectations of students and academics in the higher education context; second, it envisions the implications of such expectations on the opportunity to establish a co-creating partnership between students and academics. More specifically, th</w:t>
      </w:r>
      <w:r w:rsidR="00A30D90" w:rsidRPr="007F4548">
        <w:rPr>
          <w:rFonts w:ascii="Times New Roman" w:hAnsi="Times New Roman"/>
          <w:sz w:val="24"/>
          <w:szCs w:val="24"/>
          <w:lang w:val="en-GB" w:eastAsia="it-IT"/>
        </w:rPr>
        <w:t>re</w:t>
      </w:r>
      <w:r w:rsidR="00900589" w:rsidRPr="007F4548">
        <w:rPr>
          <w:rFonts w:ascii="Times New Roman" w:hAnsi="Times New Roman"/>
          <w:sz w:val="24"/>
          <w:szCs w:val="24"/>
          <w:lang w:val="en-GB" w:eastAsia="it-IT"/>
        </w:rPr>
        <w:t>e research questions inspired the development of this study:</w:t>
      </w:r>
    </w:p>
    <w:p w:rsidR="00417514" w:rsidRPr="007F4548" w:rsidRDefault="00417514" w:rsidP="00417514">
      <w:pPr>
        <w:spacing w:after="0" w:line="240" w:lineRule="auto"/>
        <w:ind w:left="1134"/>
        <w:jc w:val="both"/>
        <w:rPr>
          <w:rFonts w:ascii="Times New Roman" w:hAnsi="Times New Roman"/>
          <w:sz w:val="24"/>
          <w:szCs w:val="24"/>
          <w:lang w:val="en-GB" w:eastAsia="it-IT"/>
        </w:rPr>
      </w:pPr>
      <w:r w:rsidRPr="007F4548">
        <w:rPr>
          <w:rFonts w:ascii="Times New Roman" w:hAnsi="Times New Roman"/>
          <w:i/>
          <w:sz w:val="24"/>
          <w:szCs w:val="24"/>
          <w:lang w:val="en-GB" w:eastAsia="it-IT"/>
        </w:rPr>
        <w:t>R.Q. 1</w:t>
      </w:r>
      <w:r w:rsidRPr="007F4548">
        <w:rPr>
          <w:rFonts w:ascii="Times New Roman" w:hAnsi="Times New Roman"/>
          <w:sz w:val="24"/>
          <w:szCs w:val="24"/>
          <w:lang w:val="en-GB" w:eastAsia="it-IT"/>
        </w:rPr>
        <w:t xml:space="preserve">: </w:t>
      </w:r>
      <w:r w:rsidR="00A30D90" w:rsidRPr="007F4548">
        <w:rPr>
          <w:rFonts w:ascii="Times New Roman" w:hAnsi="Times New Roman"/>
          <w:sz w:val="24"/>
          <w:szCs w:val="24"/>
          <w:lang w:val="en-GB" w:eastAsia="it-IT"/>
        </w:rPr>
        <w:t>What are the students’ value expectations</w:t>
      </w:r>
      <w:r w:rsidR="002A5D9F" w:rsidRPr="007F4548">
        <w:rPr>
          <w:rFonts w:ascii="Times New Roman" w:hAnsi="Times New Roman"/>
          <w:sz w:val="24"/>
          <w:szCs w:val="24"/>
          <w:lang w:val="en-GB" w:eastAsia="it-IT"/>
        </w:rPr>
        <w:t xml:space="preserve"> in the higher education context</w:t>
      </w:r>
      <w:r w:rsidRPr="007F4548">
        <w:rPr>
          <w:rFonts w:ascii="Times New Roman" w:hAnsi="Times New Roman"/>
          <w:sz w:val="24"/>
          <w:szCs w:val="24"/>
          <w:lang w:val="en-GB" w:eastAsia="it-IT"/>
        </w:rPr>
        <w:t>?</w:t>
      </w:r>
    </w:p>
    <w:p w:rsidR="00417514" w:rsidRPr="007F4548" w:rsidRDefault="00417514" w:rsidP="00417514">
      <w:pPr>
        <w:spacing w:after="0" w:line="240" w:lineRule="auto"/>
        <w:ind w:left="1134"/>
        <w:jc w:val="both"/>
        <w:rPr>
          <w:rFonts w:ascii="Times New Roman" w:hAnsi="Times New Roman"/>
          <w:sz w:val="24"/>
          <w:szCs w:val="24"/>
          <w:lang w:val="en-GB" w:eastAsia="it-IT"/>
        </w:rPr>
      </w:pPr>
      <w:r w:rsidRPr="007F4548">
        <w:rPr>
          <w:rFonts w:ascii="Times New Roman" w:hAnsi="Times New Roman"/>
          <w:i/>
          <w:sz w:val="24"/>
          <w:szCs w:val="24"/>
          <w:lang w:val="en-GB" w:eastAsia="it-IT"/>
        </w:rPr>
        <w:t>R.Q. 2</w:t>
      </w:r>
      <w:r w:rsidRPr="007F4548">
        <w:rPr>
          <w:rFonts w:ascii="Times New Roman" w:hAnsi="Times New Roman"/>
          <w:sz w:val="24"/>
          <w:szCs w:val="24"/>
          <w:lang w:val="en-GB" w:eastAsia="it-IT"/>
        </w:rPr>
        <w:t xml:space="preserve">: </w:t>
      </w:r>
      <w:r w:rsidR="002A5D9F" w:rsidRPr="007F4548">
        <w:rPr>
          <w:rFonts w:ascii="Times New Roman" w:hAnsi="Times New Roman"/>
          <w:sz w:val="24"/>
          <w:szCs w:val="24"/>
          <w:lang w:val="en-GB" w:eastAsia="it-IT"/>
        </w:rPr>
        <w:t>What are the academics’ value expectations in the higher education context</w:t>
      </w:r>
      <w:r w:rsidRPr="007F4548">
        <w:rPr>
          <w:rFonts w:ascii="Times New Roman" w:hAnsi="Times New Roman"/>
          <w:sz w:val="24"/>
          <w:szCs w:val="24"/>
          <w:lang w:val="en-GB" w:eastAsia="it-IT"/>
        </w:rPr>
        <w:t>?</w:t>
      </w:r>
    </w:p>
    <w:p w:rsidR="00417514" w:rsidRPr="007F4548" w:rsidRDefault="00417514" w:rsidP="00417514">
      <w:pPr>
        <w:spacing w:after="0" w:line="240" w:lineRule="auto"/>
        <w:ind w:left="1134"/>
        <w:jc w:val="both"/>
        <w:rPr>
          <w:rFonts w:ascii="Times New Roman" w:hAnsi="Times New Roman"/>
          <w:sz w:val="24"/>
          <w:szCs w:val="24"/>
          <w:lang w:val="en-GB" w:eastAsia="it-IT"/>
        </w:rPr>
      </w:pPr>
      <w:r w:rsidRPr="007F4548">
        <w:rPr>
          <w:rFonts w:ascii="Times New Roman" w:hAnsi="Times New Roman"/>
          <w:i/>
          <w:sz w:val="24"/>
          <w:szCs w:val="24"/>
          <w:lang w:val="en-GB" w:eastAsia="it-IT"/>
        </w:rPr>
        <w:t>R.Q. 3</w:t>
      </w:r>
      <w:r w:rsidRPr="007F4548">
        <w:rPr>
          <w:rFonts w:ascii="Times New Roman" w:hAnsi="Times New Roman"/>
          <w:sz w:val="24"/>
          <w:szCs w:val="24"/>
          <w:lang w:val="en-GB" w:eastAsia="it-IT"/>
        </w:rPr>
        <w:t xml:space="preserve">: </w:t>
      </w:r>
      <w:r w:rsidR="0073781C" w:rsidRPr="007F4548">
        <w:rPr>
          <w:rFonts w:ascii="Times New Roman" w:hAnsi="Times New Roman"/>
          <w:sz w:val="24"/>
          <w:szCs w:val="24"/>
          <w:lang w:val="en-GB" w:eastAsia="it-IT"/>
        </w:rPr>
        <w:t>How d</w:t>
      </w:r>
      <w:r w:rsidR="002A5D9F" w:rsidRPr="007F4548">
        <w:rPr>
          <w:rFonts w:ascii="Times New Roman" w:hAnsi="Times New Roman"/>
          <w:sz w:val="24"/>
          <w:szCs w:val="24"/>
          <w:lang w:val="en-GB" w:eastAsia="it-IT"/>
        </w:rPr>
        <w:t>o students and academics’ value expectations affect their willingness to participate in value co-creation and service co-production</w:t>
      </w:r>
      <w:r w:rsidRPr="007F4548">
        <w:rPr>
          <w:rFonts w:ascii="Times New Roman" w:hAnsi="Times New Roman"/>
          <w:sz w:val="24"/>
          <w:szCs w:val="24"/>
          <w:lang w:val="en-GB" w:eastAsia="it-IT"/>
        </w:rPr>
        <w:t>?</w:t>
      </w:r>
    </w:p>
    <w:p w:rsidR="00417514" w:rsidRPr="007F4548" w:rsidRDefault="002A5D9F"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The article is organized as follows</w:t>
      </w:r>
      <w:r w:rsidR="003216D4" w:rsidRPr="007F4548">
        <w:rPr>
          <w:rFonts w:ascii="Times New Roman" w:hAnsi="Times New Roman"/>
          <w:sz w:val="24"/>
          <w:szCs w:val="24"/>
          <w:lang w:val="en-GB" w:eastAsia="it-IT"/>
        </w:rPr>
        <w:t>.</w:t>
      </w:r>
      <w:r w:rsidR="00BE7206" w:rsidRPr="007F4548">
        <w:rPr>
          <w:rFonts w:ascii="Times New Roman" w:hAnsi="Times New Roman"/>
          <w:sz w:val="24"/>
          <w:szCs w:val="24"/>
          <w:lang w:val="en-GB" w:eastAsia="it-IT"/>
        </w:rPr>
        <w:t xml:space="preserve"> Section 2 provides some details about the research strategy and design which were used to provide a tentative answer to the research questions reported above. Section 3</w:t>
      </w:r>
      <w:r w:rsidR="006D1B7A" w:rsidRPr="007F4548">
        <w:rPr>
          <w:rFonts w:ascii="Times New Roman" w:hAnsi="Times New Roman"/>
          <w:sz w:val="24"/>
          <w:szCs w:val="24"/>
          <w:lang w:val="en-GB" w:eastAsia="it-IT"/>
        </w:rPr>
        <w:t xml:space="preserve"> reports the main study findings; it is organized in three sub-sections, each of which is devoted to a research question. Section 4 critically discusses the study findings, providing some insights to trigger further conceptual and empirical developments. Lastly, section 5 summarizes the </w:t>
      </w:r>
      <w:r w:rsidR="005168FE">
        <w:rPr>
          <w:rFonts w:ascii="Times New Roman" w:hAnsi="Times New Roman"/>
          <w:sz w:val="24"/>
          <w:szCs w:val="24"/>
          <w:lang w:val="en-GB" w:eastAsia="it-IT"/>
        </w:rPr>
        <w:t>implications</w:t>
      </w:r>
      <w:r w:rsidR="006D1B7A" w:rsidRPr="007F4548">
        <w:rPr>
          <w:rFonts w:ascii="Times New Roman" w:hAnsi="Times New Roman"/>
          <w:sz w:val="24"/>
          <w:szCs w:val="24"/>
          <w:lang w:val="en-GB" w:eastAsia="it-IT"/>
        </w:rPr>
        <w:t xml:space="preserve"> of this research, emphasizing its theoretical and practical contribution.</w:t>
      </w:r>
    </w:p>
    <w:p w:rsidR="00191F9B" w:rsidRPr="007F4548" w:rsidRDefault="00191F9B" w:rsidP="00191F9B">
      <w:pPr>
        <w:spacing w:after="0" w:line="240" w:lineRule="auto"/>
        <w:jc w:val="both"/>
        <w:rPr>
          <w:rFonts w:ascii="Times New Roman" w:hAnsi="Times New Roman"/>
          <w:sz w:val="24"/>
          <w:szCs w:val="24"/>
          <w:lang w:val="en-GB" w:eastAsia="it-IT"/>
        </w:rPr>
      </w:pPr>
    </w:p>
    <w:p w:rsidR="00BA692E" w:rsidRPr="007F4548" w:rsidRDefault="00BA692E" w:rsidP="00191F9B">
      <w:pPr>
        <w:spacing w:after="0" w:line="240" w:lineRule="auto"/>
        <w:jc w:val="both"/>
        <w:rPr>
          <w:rFonts w:ascii="Times New Roman" w:hAnsi="Times New Roman"/>
          <w:sz w:val="24"/>
          <w:szCs w:val="24"/>
          <w:lang w:val="en-GB" w:eastAsia="it-IT"/>
        </w:rPr>
      </w:pPr>
    </w:p>
    <w:p w:rsidR="00191F9B" w:rsidRPr="007F4548" w:rsidRDefault="000A431C" w:rsidP="007A7860">
      <w:pPr>
        <w:pStyle w:val="Titre1"/>
        <w:numPr>
          <w:ilvl w:val="0"/>
          <w:numId w:val="5"/>
        </w:numPr>
        <w:ind w:left="284" w:hanging="284"/>
        <w:rPr>
          <w:rFonts w:ascii="Times New Roman" w:hAnsi="Times New Roman" w:cs="Times New Roman"/>
          <w:b/>
          <w:color w:val="000000" w:themeColor="text1"/>
          <w:sz w:val="24"/>
          <w:szCs w:val="24"/>
          <w:lang w:val="en-GB"/>
        </w:rPr>
      </w:pPr>
      <w:r w:rsidRPr="007F4548">
        <w:rPr>
          <w:rFonts w:ascii="Times New Roman" w:hAnsi="Times New Roman" w:cs="Times New Roman"/>
          <w:b/>
          <w:color w:val="000000" w:themeColor="text1"/>
          <w:sz w:val="24"/>
          <w:szCs w:val="24"/>
          <w:lang w:val="en-GB"/>
        </w:rPr>
        <w:t>Methods</w:t>
      </w:r>
    </w:p>
    <w:p w:rsidR="00191F9B" w:rsidRPr="007F4548" w:rsidRDefault="00191F9B" w:rsidP="00191F9B">
      <w:pPr>
        <w:spacing w:after="0" w:line="240" w:lineRule="auto"/>
        <w:jc w:val="both"/>
        <w:rPr>
          <w:rFonts w:ascii="Times New Roman" w:hAnsi="Times New Roman"/>
          <w:sz w:val="24"/>
          <w:szCs w:val="24"/>
          <w:lang w:val="en-GB" w:eastAsia="it-IT"/>
        </w:rPr>
      </w:pPr>
    </w:p>
    <w:p w:rsidR="00135542" w:rsidRPr="007F4548" w:rsidRDefault="00135542" w:rsidP="00E97172">
      <w:pPr>
        <w:pStyle w:val="Titre2"/>
        <w:spacing w:before="60" w:after="60"/>
        <w:rPr>
          <w:rFonts w:ascii="Times New Roman" w:hAnsi="Times New Roman" w:cs="Times New Roman"/>
          <w:i/>
          <w:color w:val="000000" w:themeColor="text1"/>
          <w:sz w:val="24"/>
          <w:lang w:val="en-GB" w:eastAsia="it-IT"/>
        </w:rPr>
      </w:pPr>
      <w:r w:rsidRPr="007F4548">
        <w:rPr>
          <w:rFonts w:ascii="Times New Roman" w:hAnsi="Times New Roman" w:cs="Times New Roman"/>
          <w:i/>
          <w:color w:val="000000" w:themeColor="text1"/>
          <w:sz w:val="24"/>
          <w:lang w:val="en-GB" w:eastAsia="it-IT"/>
        </w:rPr>
        <w:t xml:space="preserve">2.1 </w:t>
      </w:r>
      <w:r w:rsidR="000A431C" w:rsidRPr="007F4548">
        <w:rPr>
          <w:rFonts w:ascii="Times New Roman" w:hAnsi="Times New Roman" w:cs="Times New Roman"/>
          <w:i/>
          <w:color w:val="000000" w:themeColor="text1"/>
          <w:sz w:val="24"/>
          <w:lang w:val="en-GB" w:eastAsia="it-IT"/>
        </w:rPr>
        <w:t>Research strategy and design</w:t>
      </w:r>
    </w:p>
    <w:p w:rsidR="005F4FD6" w:rsidRPr="007F4548" w:rsidRDefault="006D1B7A"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A mixed, quali-quantitative case study approach was taken for the purpose of this study</w:t>
      </w:r>
      <w:r w:rsidR="003E62E6" w:rsidRPr="007F4548">
        <w:rPr>
          <w:rFonts w:ascii="Times New Roman" w:hAnsi="Times New Roman"/>
          <w:sz w:val="24"/>
          <w:szCs w:val="24"/>
          <w:lang w:val="en-GB" w:eastAsia="it-IT"/>
        </w:rPr>
        <w:t xml:space="preserve"> (Yazan, 2015)</w:t>
      </w:r>
      <w:r w:rsidRPr="007F4548">
        <w:rPr>
          <w:rFonts w:ascii="Times New Roman" w:hAnsi="Times New Roman"/>
          <w:sz w:val="24"/>
          <w:szCs w:val="24"/>
          <w:lang w:val="en-GB" w:eastAsia="it-IT"/>
        </w:rPr>
        <w:t xml:space="preserve">. In fact, the case study method was consistent with the </w:t>
      </w:r>
      <w:r w:rsidR="0073781C" w:rsidRPr="007F4548">
        <w:rPr>
          <w:rFonts w:ascii="Times New Roman" w:hAnsi="Times New Roman"/>
          <w:sz w:val="24"/>
          <w:szCs w:val="24"/>
          <w:lang w:val="en-GB" w:eastAsia="it-IT"/>
        </w:rPr>
        <w:t>“</w:t>
      </w:r>
      <w:r w:rsidR="0073781C" w:rsidRPr="007F4548">
        <w:rPr>
          <w:rFonts w:ascii="Times New Roman" w:hAnsi="Times New Roman"/>
          <w:i/>
          <w:sz w:val="24"/>
          <w:szCs w:val="24"/>
          <w:lang w:val="en-GB" w:eastAsia="it-IT"/>
        </w:rPr>
        <w:t>what</w:t>
      </w:r>
      <w:r w:rsidR="0073781C" w:rsidRPr="007F4548">
        <w:rPr>
          <w:rFonts w:ascii="Times New Roman" w:hAnsi="Times New Roman"/>
          <w:sz w:val="24"/>
          <w:szCs w:val="24"/>
          <w:lang w:val="en-GB" w:eastAsia="it-IT"/>
        </w:rPr>
        <w:t>” and “</w:t>
      </w:r>
      <w:r w:rsidR="0073781C" w:rsidRPr="007F4548">
        <w:rPr>
          <w:rFonts w:ascii="Times New Roman" w:hAnsi="Times New Roman"/>
          <w:i/>
          <w:sz w:val="24"/>
          <w:szCs w:val="24"/>
          <w:lang w:val="en-GB" w:eastAsia="it-IT"/>
        </w:rPr>
        <w:t>how</w:t>
      </w:r>
      <w:r w:rsidR="0073781C" w:rsidRPr="007F4548">
        <w:rPr>
          <w:rFonts w:ascii="Times New Roman" w:hAnsi="Times New Roman"/>
          <w:sz w:val="24"/>
          <w:szCs w:val="24"/>
          <w:lang w:val="en-GB" w:eastAsia="it-IT"/>
        </w:rPr>
        <w:t xml:space="preserve">” nature of the research questions which </w:t>
      </w:r>
      <w:r w:rsidR="002855A8" w:rsidRPr="007F4548">
        <w:rPr>
          <w:rFonts w:ascii="Times New Roman" w:hAnsi="Times New Roman"/>
          <w:sz w:val="24"/>
          <w:szCs w:val="24"/>
          <w:lang w:val="en-GB" w:eastAsia="it-IT"/>
        </w:rPr>
        <w:t>triggered this study (Hancock and Algozzine, 2017).</w:t>
      </w:r>
      <w:r w:rsidR="001844F6" w:rsidRPr="007F4548">
        <w:rPr>
          <w:rFonts w:ascii="Times New Roman" w:hAnsi="Times New Roman"/>
          <w:sz w:val="24"/>
          <w:szCs w:val="24"/>
          <w:lang w:val="en-GB" w:eastAsia="it-IT"/>
        </w:rPr>
        <w:t xml:space="preserve"> The attention was focussed on a single case university, which was conveniently identified by the authors in light of its involvement in a research project aimed at eliciting its ability to involve students and academics in value co-creation.</w:t>
      </w:r>
    </w:p>
    <w:p w:rsidR="000A431C" w:rsidRPr="007F4548" w:rsidRDefault="001844F6"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As suggested by Yin (2012), we accessed multiple sources of information in order to collect evidence about the main topics dealt with in this paper</w:t>
      </w:r>
      <w:r w:rsidR="000A431C" w:rsidRPr="007F4548">
        <w:rPr>
          <w:rFonts w:ascii="Times New Roman" w:hAnsi="Times New Roman"/>
          <w:sz w:val="24"/>
          <w:szCs w:val="24"/>
          <w:lang w:val="en-GB" w:eastAsia="it-IT"/>
        </w:rPr>
        <w:t>.</w:t>
      </w:r>
      <w:r w:rsidRPr="007F4548">
        <w:rPr>
          <w:rFonts w:ascii="Times New Roman" w:hAnsi="Times New Roman"/>
          <w:sz w:val="24"/>
          <w:szCs w:val="24"/>
          <w:lang w:val="en-GB" w:eastAsia="it-IT"/>
        </w:rPr>
        <w:t xml:space="preserve"> More specifically, </w:t>
      </w:r>
      <w:r w:rsidR="00A779ED" w:rsidRPr="007F4548">
        <w:rPr>
          <w:rFonts w:ascii="Times New Roman" w:hAnsi="Times New Roman"/>
          <w:sz w:val="24"/>
          <w:szCs w:val="24"/>
          <w:lang w:val="en-GB" w:eastAsia="it-IT"/>
        </w:rPr>
        <w:t xml:space="preserve">the first step of our research design consisted of a desk study concerning the policy documents and strategic plans of the case institution. The data obtained from these sources allowed us to achieve a greater awareness of the case institutions’ positioning about the process of users’ engagement in value co-creation and service co-production, triggering the further phases of the research. </w:t>
      </w:r>
      <w:r w:rsidR="009644A3" w:rsidRPr="007F4548">
        <w:rPr>
          <w:rFonts w:ascii="Times New Roman" w:hAnsi="Times New Roman"/>
          <w:sz w:val="24"/>
          <w:szCs w:val="24"/>
          <w:lang w:val="en-GB" w:eastAsia="it-IT"/>
        </w:rPr>
        <w:t>In the</w:t>
      </w:r>
      <w:r w:rsidR="00A779ED" w:rsidRPr="007F4548">
        <w:rPr>
          <w:rFonts w:ascii="Times New Roman" w:hAnsi="Times New Roman"/>
          <w:sz w:val="24"/>
          <w:szCs w:val="24"/>
          <w:lang w:val="en-GB" w:eastAsia="it-IT"/>
        </w:rPr>
        <w:t xml:space="preserve"> second step </w:t>
      </w:r>
      <w:r w:rsidR="009644A3" w:rsidRPr="007F4548">
        <w:rPr>
          <w:rFonts w:ascii="Times New Roman" w:hAnsi="Times New Roman"/>
          <w:sz w:val="24"/>
          <w:szCs w:val="24"/>
          <w:lang w:val="en-GB" w:eastAsia="it-IT"/>
        </w:rPr>
        <w:t xml:space="preserve">of this study, we designed a semi-structured questionnaire, which was intended to shed light on the value expectations and perspectives of both students and academics. The questionnaire was administered to a representative sample of these two categories of agents: in sum, 1,243 students and </w:t>
      </w:r>
      <w:r w:rsidR="00072D93" w:rsidRPr="007F4548">
        <w:rPr>
          <w:rFonts w:ascii="Times New Roman" w:hAnsi="Times New Roman"/>
          <w:sz w:val="24"/>
          <w:szCs w:val="24"/>
          <w:lang w:val="en-GB" w:eastAsia="it-IT"/>
        </w:rPr>
        <w:t xml:space="preserve">232 academics were involved in this </w:t>
      </w:r>
      <w:r w:rsidR="00072D93" w:rsidRPr="007F4548">
        <w:rPr>
          <w:rFonts w:ascii="Times New Roman" w:hAnsi="Times New Roman"/>
          <w:sz w:val="24"/>
          <w:szCs w:val="24"/>
          <w:lang w:val="en-GB" w:eastAsia="it-IT"/>
        </w:rPr>
        <w:lastRenderedPageBreak/>
        <w:t>research. Section 2.3 provides some additional information about the socio-demographic characteristics of the two samples which</w:t>
      </w:r>
      <w:r w:rsidR="003E62E6" w:rsidRPr="007F4548">
        <w:rPr>
          <w:rFonts w:ascii="Times New Roman" w:hAnsi="Times New Roman"/>
          <w:sz w:val="24"/>
          <w:szCs w:val="24"/>
          <w:lang w:val="en-GB" w:eastAsia="it-IT"/>
        </w:rPr>
        <w:t xml:space="preserve"> participated in this study. In the third and concluding step of this study, we collected some in-depth insights from several key informants, who were conveniently recruited among the students who showed a greater awareness of their opportunity to participate in value co-creation and among the academics who expressed some criticism about the involvement of students in the process of value co-creation. In sum, this study design allowed us to obtain a wide array of evidence, shedding light on the students and academics’ perspectives on value co-creation in the higher education context.</w:t>
      </w:r>
    </w:p>
    <w:p w:rsidR="00191F9B" w:rsidRPr="007F4548" w:rsidRDefault="00191F9B" w:rsidP="00191F9B">
      <w:pPr>
        <w:spacing w:after="0" w:line="240" w:lineRule="auto"/>
        <w:ind w:firstLine="284"/>
        <w:jc w:val="both"/>
        <w:rPr>
          <w:rFonts w:ascii="Times New Roman" w:hAnsi="Times New Roman"/>
          <w:sz w:val="24"/>
          <w:szCs w:val="24"/>
          <w:lang w:val="en-GB" w:eastAsia="it-IT"/>
        </w:rPr>
      </w:pPr>
    </w:p>
    <w:p w:rsidR="00135542" w:rsidRPr="007F4548" w:rsidRDefault="00135542" w:rsidP="00191F9B">
      <w:pPr>
        <w:spacing w:after="0" w:line="240" w:lineRule="auto"/>
        <w:ind w:firstLine="284"/>
        <w:jc w:val="both"/>
        <w:rPr>
          <w:rFonts w:ascii="Times New Roman" w:hAnsi="Times New Roman"/>
          <w:sz w:val="24"/>
          <w:szCs w:val="24"/>
          <w:lang w:val="en-GB" w:eastAsia="it-IT"/>
        </w:rPr>
      </w:pPr>
    </w:p>
    <w:p w:rsidR="00135542" w:rsidRPr="007F4548" w:rsidRDefault="00135542" w:rsidP="00135542">
      <w:pPr>
        <w:pStyle w:val="Titre2"/>
        <w:rPr>
          <w:rFonts w:ascii="Times New Roman" w:hAnsi="Times New Roman" w:cs="Times New Roman"/>
          <w:i/>
          <w:color w:val="000000" w:themeColor="text1"/>
          <w:sz w:val="24"/>
          <w:lang w:val="en-GB" w:eastAsia="it-IT"/>
        </w:rPr>
      </w:pPr>
      <w:r w:rsidRPr="007F4548">
        <w:rPr>
          <w:rFonts w:ascii="Times New Roman" w:hAnsi="Times New Roman" w:cs="Times New Roman"/>
          <w:i/>
          <w:color w:val="000000" w:themeColor="text1"/>
          <w:sz w:val="24"/>
          <w:lang w:val="en-GB" w:eastAsia="it-IT"/>
        </w:rPr>
        <w:t xml:space="preserve">2.2 </w:t>
      </w:r>
      <w:r w:rsidR="00980A89" w:rsidRPr="007F4548">
        <w:rPr>
          <w:rFonts w:ascii="Times New Roman" w:hAnsi="Times New Roman" w:cs="Times New Roman"/>
          <w:i/>
          <w:color w:val="000000" w:themeColor="text1"/>
          <w:sz w:val="24"/>
          <w:lang w:val="en-GB" w:eastAsia="it-IT"/>
        </w:rPr>
        <w:t>The case</w:t>
      </w:r>
      <w:r w:rsidR="003E62E6" w:rsidRPr="007F4548">
        <w:rPr>
          <w:rFonts w:ascii="Times New Roman" w:hAnsi="Times New Roman" w:cs="Times New Roman"/>
          <w:i/>
          <w:color w:val="000000" w:themeColor="text1"/>
          <w:sz w:val="24"/>
          <w:lang w:val="en-GB" w:eastAsia="it-IT"/>
        </w:rPr>
        <w:t xml:space="preserve"> study</w:t>
      </w:r>
      <w:r w:rsidR="00980A89" w:rsidRPr="007F4548">
        <w:rPr>
          <w:rFonts w:ascii="Times New Roman" w:hAnsi="Times New Roman" w:cs="Times New Roman"/>
          <w:i/>
          <w:color w:val="000000" w:themeColor="text1"/>
          <w:sz w:val="24"/>
          <w:lang w:val="en-GB" w:eastAsia="it-IT"/>
        </w:rPr>
        <w:t xml:space="preserve"> </w:t>
      </w:r>
      <w:r w:rsidR="003E62E6" w:rsidRPr="007F4548">
        <w:rPr>
          <w:rFonts w:ascii="Times New Roman" w:hAnsi="Times New Roman" w:cs="Times New Roman"/>
          <w:i/>
          <w:color w:val="000000" w:themeColor="text1"/>
          <w:sz w:val="24"/>
          <w:lang w:val="en-GB" w:eastAsia="it-IT"/>
        </w:rPr>
        <w:t>institution</w:t>
      </w:r>
    </w:p>
    <w:p w:rsidR="00C4677F" w:rsidRPr="007F4548" w:rsidRDefault="001B73A0" w:rsidP="00135542">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As previously anticipated, the case institution was conveniently selected by the authors.</w:t>
      </w:r>
      <w:r w:rsidR="009E3EF1" w:rsidRPr="007F4548">
        <w:rPr>
          <w:rFonts w:ascii="Times New Roman" w:hAnsi="Times New Roman"/>
          <w:sz w:val="24"/>
          <w:szCs w:val="24"/>
          <w:lang w:val="en-GB" w:eastAsia="it-IT"/>
        </w:rPr>
        <w:t xml:space="preserve"> The decision to focus the attention on a single institution was consistent with the purpose of obtaining first-hand and fresh evidence about the main topics investigated in this research.</w:t>
      </w:r>
      <w:r w:rsidRPr="007F4548">
        <w:rPr>
          <w:rFonts w:ascii="Times New Roman" w:hAnsi="Times New Roman"/>
          <w:sz w:val="24"/>
          <w:szCs w:val="24"/>
          <w:lang w:val="en-GB" w:eastAsia="it-IT"/>
        </w:rPr>
        <w:t xml:space="preserve"> </w:t>
      </w:r>
      <w:r w:rsidR="009E3EF1" w:rsidRPr="007F4548">
        <w:rPr>
          <w:rFonts w:ascii="Times New Roman" w:hAnsi="Times New Roman"/>
          <w:sz w:val="24"/>
          <w:szCs w:val="24"/>
          <w:lang w:val="en-GB" w:eastAsia="it-IT"/>
        </w:rPr>
        <w:t>The</w:t>
      </w:r>
      <w:r w:rsidRPr="007F4548">
        <w:rPr>
          <w:rFonts w:ascii="Times New Roman" w:hAnsi="Times New Roman"/>
          <w:sz w:val="24"/>
          <w:szCs w:val="24"/>
          <w:lang w:val="en-GB" w:eastAsia="it-IT"/>
        </w:rPr>
        <w:t xml:space="preserve"> </w:t>
      </w:r>
      <w:r w:rsidR="009E3EF1" w:rsidRPr="007F4548">
        <w:rPr>
          <w:rFonts w:ascii="Times New Roman" w:hAnsi="Times New Roman"/>
          <w:sz w:val="24"/>
          <w:szCs w:val="24"/>
          <w:lang w:val="en-GB" w:eastAsia="it-IT"/>
        </w:rPr>
        <w:t xml:space="preserve">case institution </w:t>
      </w:r>
      <w:r w:rsidRPr="007F4548">
        <w:rPr>
          <w:rFonts w:ascii="Times New Roman" w:hAnsi="Times New Roman"/>
          <w:sz w:val="24"/>
          <w:szCs w:val="24"/>
          <w:lang w:val="en-GB" w:eastAsia="it-IT"/>
        </w:rPr>
        <w:t xml:space="preserve">was a medium-sized </w:t>
      </w:r>
      <w:r w:rsidR="009E3EF1" w:rsidRPr="007F4548">
        <w:rPr>
          <w:rFonts w:ascii="Times New Roman" w:hAnsi="Times New Roman"/>
          <w:sz w:val="24"/>
          <w:szCs w:val="24"/>
          <w:lang w:val="en-GB" w:eastAsia="it-IT"/>
        </w:rPr>
        <w:t xml:space="preserve">multi-specialty </w:t>
      </w:r>
      <w:r w:rsidRPr="007F4548">
        <w:rPr>
          <w:rFonts w:ascii="Times New Roman" w:hAnsi="Times New Roman"/>
          <w:sz w:val="24"/>
          <w:szCs w:val="24"/>
          <w:lang w:val="en-GB" w:eastAsia="it-IT"/>
        </w:rPr>
        <w:t>university located in North-western Italy, one of the most advanced areas of the Peninsula</w:t>
      </w:r>
      <w:r w:rsidR="0036564C" w:rsidRPr="007F4548">
        <w:rPr>
          <w:rFonts w:ascii="Times New Roman" w:hAnsi="Times New Roman"/>
          <w:sz w:val="24"/>
          <w:szCs w:val="24"/>
          <w:lang w:val="en-GB" w:eastAsia="it-IT"/>
        </w:rPr>
        <w:t>.</w:t>
      </w:r>
      <w:r w:rsidRPr="007F4548">
        <w:rPr>
          <w:rFonts w:ascii="Times New Roman" w:hAnsi="Times New Roman"/>
          <w:sz w:val="24"/>
          <w:szCs w:val="24"/>
          <w:lang w:val="en-GB" w:eastAsia="it-IT"/>
        </w:rPr>
        <w:t xml:space="preserve"> By 2019, the </w:t>
      </w:r>
      <w:r w:rsidR="009E3EF1" w:rsidRPr="007F4548">
        <w:rPr>
          <w:rFonts w:ascii="Times New Roman" w:hAnsi="Times New Roman"/>
          <w:sz w:val="24"/>
          <w:szCs w:val="24"/>
          <w:lang w:val="en-GB" w:eastAsia="it-IT"/>
        </w:rPr>
        <w:t>educational institution</w:t>
      </w:r>
      <w:r w:rsidRPr="007F4548">
        <w:rPr>
          <w:rFonts w:ascii="Times New Roman" w:hAnsi="Times New Roman"/>
          <w:sz w:val="24"/>
          <w:szCs w:val="24"/>
          <w:lang w:val="en-GB" w:eastAsia="it-IT"/>
        </w:rPr>
        <w:t xml:space="preserve"> had 346 tenured academics, with women representing about 40% of the academic workforce. </w:t>
      </w:r>
      <w:r w:rsidR="002D7A4B" w:rsidRPr="007F4548">
        <w:rPr>
          <w:rFonts w:ascii="Times New Roman" w:hAnsi="Times New Roman"/>
          <w:sz w:val="24"/>
          <w:szCs w:val="24"/>
          <w:lang w:val="en-GB" w:eastAsia="it-IT"/>
        </w:rPr>
        <w:t>Tenured scholars</w:t>
      </w:r>
      <w:r w:rsidRPr="007F4548">
        <w:rPr>
          <w:rFonts w:ascii="Times New Roman" w:hAnsi="Times New Roman"/>
          <w:sz w:val="24"/>
          <w:szCs w:val="24"/>
          <w:lang w:val="en-GB" w:eastAsia="it-IT"/>
        </w:rPr>
        <w:t xml:space="preserve"> were distributed in 7 scientific departments, including: law, engineering, informatics, classical languages, modern languages, economics and management, and humanities and social science. With more th</w:t>
      </w:r>
      <w:r w:rsidR="00C4677F" w:rsidRPr="007F4548">
        <w:rPr>
          <w:rFonts w:ascii="Times New Roman" w:hAnsi="Times New Roman"/>
          <w:sz w:val="24"/>
          <w:szCs w:val="24"/>
          <w:lang w:val="en-GB" w:eastAsia="it-IT"/>
        </w:rPr>
        <w:t>a</w:t>
      </w:r>
      <w:r w:rsidRPr="007F4548">
        <w:rPr>
          <w:rFonts w:ascii="Times New Roman" w:hAnsi="Times New Roman"/>
          <w:sz w:val="24"/>
          <w:szCs w:val="24"/>
          <w:lang w:val="en-GB" w:eastAsia="it-IT"/>
        </w:rPr>
        <w:t xml:space="preserve">n </w:t>
      </w:r>
      <w:r w:rsidR="00C4677F" w:rsidRPr="007F4548">
        <w:rPr>
          <w:rFonts w:ascii="Times New Roman" w:hAnsi="Times New Roman"/>
          <w:sz w:val="24"/>
          <w:szCs w:val="24"/>
          <w:lang w:val="en-GB" w:eastAsia="it-IT"/>
        </w:rPr>
        <w:t>1</w:t>
      </w:r>
      <w:r w:rsidRPr="007F4548">
        <w:rPr>
          <w:rFonts w:ascii="Times New Roman" w:hAnsi="Times New Roman"/>
          <w:sz w:val="24"/>
          <w:szCs w:val="24"/>
          <w:lang w:val="en-GB" w:eastAsia="it-IT"/>
        </w:rPr>
        <w:t>,</w:t>
      </w:r>
      <w:r w:rsidR="00C4677F" w:rsidRPr="007F4548">
        <w:rPr>
          <w:rFonts w:ascii="Times New Roman" w:hAnsi="Times New Roman"/>
          <w:sz w:val="24"/>
          <w:szCs w:val="24"/>
          <w:lang w:val="en-GB" w:eastAsia="it-IT"/>
        </w:rPr>
        <w:t>2</w:t>
      </w:r>
      <w:r w:rsidRPr="007F4548">
        <w:rPr>
          <w:rFonts w:ascii="Times New Roman" w:hAnsi="Times New Roman"/>
          <w:sz w:val="24"/>
          <w:szCs w:val="24"/>
          <w:lang w:val="en-GB" w:eastAsia="it-IT"/>
        </w:rPr>
        <w:t xml:space="preserve">00 </w:t>
      </w:r>
      <w:r w:rsidR="00C4677F" w:rsidRPr="007F4548">
        <w:rPr>
          <w:rFonts w:ascii="Times New Roman" w:hAnsi="Times New Roman"/>
          <w:sz w:val="24"/>
          <w:szCs w:val="24"/>
          <w:lang w:val="en-GB" w:eastAsia="it-IT"/>
        </w:rPr>
        <w:t xml:space="preserve">scientific </w:t>
      </w:r>
      <w:r w:rsidRPr="007F4548">
        <w:rPr>
          <w:rFonts w:ascii="Times New Roman" w:hAnsi="Times New Roman"/>
          <w:sz w:val="24"/>
          <w:szCs w:val="24"/>
          <w:lang w:val="en-GB" w:eastAsia="it-IT"/>
        </w:rPr>
        <w:t xml:space="preserve">publications </w:t>
      </w:r>
      <w:r w:rsidR="00C4677F" w:rsidRPr="007F4548">
        <w:rPr>
          <w:rFonts w:ascii="Times New Roman" w:hAnsi="Times New Roman"/>
          <w:sz w:val="24"/>
          <w:szCs w:val="24"/>
          <w:lang w:val="en-GB" w:eastAsia="it-IT"/>
        </w:rPr>
        <w:t xml:space="preserve">per year, 35 active patents, 11 spin-offs, and 27 start-ups, </w:t>
      </w:r>
      <w:r w:rsidR="002D7A4B" w:rsidRPr="007F4548">
        <w:rPr>
          <w:rFonts w:ascii="Times New Roman" w:hAnsi="Times New Roman"/>
          <w:sz w:val="24"/>
          <w:szCs w:val="24"/>
          <w:lang w:val="en-GB" w:eastAsia="it-IT"/>
        </w:rPr>
        <w:t>the case institution</w:t>
      </w:r>
      <w:r w:rsidR="00C4677F" w:rsidRPr="007F4548">
        <w:rPr>
          <w:rFonts w:ascii="Times New Roman" w:hAnsi="Times New Roman"/>
          <w:sz w:val="24"/>
          <w:szCs w:val="24"/>
          <w:lang w:val="en-GB" w:eastAsia="it-IT"/>
        </w:rPr>
        <w:t xml:space="preserve"> is</w:t>
      </w:r>
      <w:r w:rsidR="002D7A4B" w:rsidRPr="007F4548">
        <w:rPr>
          <w:rFonts w:ascii="Times New Roman" w:hAnsi="Times New Roman"/>
          <w:sz w:val="24"/>
          <w:szCs w:val="24"/>
          <w:lang w:val="en-GB" w:eastAsia="it-IT"/>
        </w:rPr>
        <w:t xml:space="preserve"> currently</w:t>
      </w:r>
      <w:r w:rsidR="00C4677F" w:rsidRPr="007F4548">
        <w:rPr>
          <w:rFonts w:ascii="Times New Roman" w:hAnsi="Times New Roman"/>
          <w:sz w:val="24"/>
          <w:szCs w:val="24"/>
          <w:lang w:val="en-GB" w:eastAsia="it-IT"/>
        </w:rPr>
        <w:t xml:space="preserve"> ranked among the leading 100 young universities and the leading 500 universities in the world.</w:t>
      </w:r>
    </w:p>
    <w:p w:rsidR="00980A89" w:rsidRPr="007F4548" w:rsidRDefault="009E3EF1" w:rsidP="00135542">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By the academic year 2018/2019, more than 20,500 students were enrolled at the</w:t>
      </w:r>
      <w:r w:rsidR="002D7A4B" w:rsidRPr="007F4548">
        <w:rPr>
          <w:rFonts w:ascii="Times New Roman" w:hAnsi="Times New Roman"/>
          <w:sz w:val="24"/>
          <w:szCs w:val="24"/>
          <w:lang w:val="en-GB" w:eastAsia="it-IT"/>
        </w:rPr>
        <w:t xml:space="preserve"> case</w:t>
      </w:r>
      <w:r w:rsidRPr="007F4548">
        <w:rPr>
          <w:rFonts w:ascii="Times New Roman" w:hAnsi="Times New Roman"/>
          <w:sz w:val="24"/>
          <w:szCs w:val="24"/>
          <w:lang w:val="en-GB" w:eastAsia="it-IT"/>
        </w:rPr>
        <w:t xml:space="preserve"> </w:t>
      </w:r>
      <w:r w:rsidR="002D7A4B" w:rsidRPr="007F4548">
        <w:rPr>
          <w:rFonts w:ascii="Times New Roman" w:hAnsi="Times New Roman"/>
          <w:sz w:val="24"/>
          <w:szCs w:val="24"/>
          <w:lang w:val="en-GB" w:eastAsia="it-IT"/>
        </w:rPr>
        <w:t>u</w:t>
      </w:r>
      <w:r w:rsidRPr="007F4548">
        <w:rPr>
          <w:rFonts w:ascii="Times New Roman" w:hAnsi="Times New Roman"/>
          <w:sz w:val="24"/>
          <w:szCs w:val="24"/>
          <w:lang w:val="en-GB" w:eastAsia="it-IT"/>
        </w:rPr>
        <w:t>niversity</w:t>
      </w:r>
      <w:r w:rsidR="00980A89" w:rsidRPr="007F4548">
        <w:rPr>
          <w:rFonts w:ascii="Times New Roman" w:hAnsi="Times New Roman"/>
          <w:sz w:val="24"/>
          <w:szCs w:val="24"/>
          <w:lang w:val="en-GB" w:eastAsia="it-IT"/>
        </w:rPr>
        <w:t>.</w:t>
      </w:r>
      <w:r w:rsidRPr="007F4548">
        <w:rPr>
          <w:rFonts w:ascii="Times New Roman" w:hAnsi="Times New Roman"/>
          <w:sz w:val="24"/>
          <w:szCs w:val="24"/>
          <w:lang w:val="en-GB" w:eastAsia="it-IT"/>
        </w:rPr>
        <w:t xml:space="preserve"> In 2017, about 2,500 people achieved a degree delivered by the </w:t>
      </w:r>
      <w:r w:rsidR="002D7A4B" w:rsidRPr="007F4548">
        <w:rPr>
          <w:rFonts w:ascii="Times New Roman" w:hAnsi="Times New Roman"/>
          <w:sz w:val="24"/>
          <w:szCs w:val="24"/>
          <w:lang w:val="en-GB" w:eastAsia="it-IT"/>
        </w:rPr>
        <w:t xml:space="preserve">educational </w:t>
      </w:r>
      <w:r w:rsidRPr="007F4548">
        <w:rPr>
          <w:rFonts w:ascii="Times New Roman" w:hAnsi="Times New Roman"/>
          <w:sz w:val="24"/>
          <w:szCs w:val="24"/>
          <w:lang w:val="en-GB" w:eastAsia="it-IT"/>
        </w:rPr>
        <w:t xml:space="preserve">institution. More than 2 in 3 people with a master’s degree (76.1%) were able to get a job within a year of the graduation; </w:t>
      </w:r>
      <w:r w:rsidR="002D7A4B" w:rsidRPr="007F4548">
        <w:rPr>
          <w:rFonts w:ascii="Times New Roman" w:hAnsi="Times New Roman"/>
          <w:sz w:val="24"/>
          <w:szCs w:val="24"/>
          <w:lang w:val="en-GB" w:eastAsia="it-IT"/>
        </w:rPr>
        <w:t>besides</w:t>
      </w:r>
      <w:r w:rsidRPr="007F4548">
        <w:rPr>
          <w:rFonts w:ascii="Times New Roman" w:hAnsi="Times New Roman"/>
          <w:sz w:val="24"/>
          <w:szCs w:val="24"/>
          <w:lang w:val="en-GB" w:eastAsia="it-IT"/>
        </w:rPr>
        <w:t>, more than half of people holding a bachelors’ degree (57.8%) reported that they had a job within a year of their graduation. Lastly, yet importantly, the university hosted more than 1,500 foreign students</w:t>
      </w:r>
      <w:r w:rsidR="002D7A4B" w:rsidRPr="007F4548">
        <w:rPr>
          <w:rFonts w:ascii="Times New Roman" w:hAnsi="Times New Roman"/>
          <w:sz w:val="24"/>
          <w:szCs w:val="24"/>
          <w:lang w:val="en-GB" w:eastAsia="it-IT"/>
        </w:rPr>
        <w:t xml:space="preserve"> and had more than 250 operative partnerships with international institutions.</w:t>
      </w:r>
    </w:p>
    <w:p w:rsidR="00135542" w:rsidRPr="007F4548" w:rsidRDefault="00135542" w:rsidP="00191F9B">
      <w:pPr>
        <w:spacing w:after="0" w:line="240" w:lineRule="auto"/>
        <w:ind w:firstLine="284"/>
        <w:jc w:val="both"/>
        <w:rPr>
          <w:rFonts w:ascii="Times New Roman" w:hAnsi="Times New Roman"/>
          <w:sz w:val="24"/>
          <w:szCs w:val="24"/>
          <w:lang w:val="en-GB" w:eastAsia="it-IT"/>
        </w:rPr>
      </w:pPr>
    </w:p>
    <w:p w:rsidR="0036564C" w:rsidRPr="007F4548" w:rsidRDefault="0036564C" w:rsidP="00191F9B">
      <w:pPr>
        <w:spacing w:after="0" w:line="240" w:lineRule="auto"/>
        <w:ind w:firstLine="284"/>
        <w:jc w:val="both"/>
        <w:rPr>
          <w:rFonts w:ascii="Times New Roman" w:hAnsi="Times New Roman"/>
          <w:sz w:val="24"/>
          <w:szCs w:val="24"/>
          <w:lang w:val="en-GB" w:eastAsia="it-IT"/>
        </w:rPr>
      </w:pPr>
    </w:p>
    <w:p w:rsidR="00135542" w:rsidRPr="007F4548" w:rsidRDefault="00135542" w:rsidP="00135542">
      <w:pPr>
        <w:pStyle w:val="Titre2"/>
        <w:rPr>
          <w:rFonts w:ascii="Times New Roman" w:hAnsi="Times New Roman" w:cs="Times New Roman"/>
          <w:i/>
          <w:color w:val="000000" w:themeColor="text1"/>
          <w:sz w:val="24"/>
          <w:lang w:val="en-GB" w:eastAsia="it-IT"/>
        </w:rPr>
      </w:pPr>
      <w:r w:rsidRPr="007F4548">
        <w:rPr>
          <w:rFonts w:ascii="Times New Roman" w:hAnsi="Times New Roman" w:cs="Times New Roman"/>
          <w:i/>
          <w:color w:val="000000" w:themeColor="text1"/>
          <w:sz w:val="24"/>
          <w:lang w:val="en-GB" w:eastAsia="it-IT"/>
        </w:rPr>
        <w:t xml:space="preserve">2.3 </w:t>
      </w:r>
      <w:r w:rsidR="00980A89" w:rsidRPr="007F4548">
        <w:rPr>
          <w:rFonts w:ascii="Times New Roman" w:hAnsi="Times New Roman" w:cs="Times New Roman"/>
          <w:i/>
          <w:color w:val="000000" w:themeColor="text1"/>
          <w:sz w:val="24"/>
          <w:lang w:val="en-GB" w:eastAsia="it-IT"/>
        </w:rPr>
        <w:t>The two study s</w:t>
      </w:r>
      <w:r w:rsidRPr="007F4548">
        <w:rPr>
          <w:rFonts w:ascii="Times New Roman" w:hAnsi="Times New Roman" w:cs="Times New Roman"/>
          <w:i/>
          <w:color w:val="000000" w:themeColor="text1"/>
          <w:sz w:val="24"/>
          <w:lang w:val="en-GB" w:eastAsia="it-IT"/>
        </w:rPr>
        <w:t>ample</w:t>
      </w:r>
      <w:r w:rsidR="00980A89" w:rsidRPr="007F4548">
        <w:rPr>
          <w:rFonts w:ascii="Times New Roman" w:hAnsi="Times New Roman" w:cs="Times New Roman"/>
          <w:i/>
          <w:color w:val="000000" w:themeColor="text1"/>
          <w:sz w:val="24"/>
          <w:lang w:val="en-GB" w:eastAsia="it-IT"/>
        </w:rPr>
        <w:t>s</w:t>
      </w:r>
    </w:p>
    <w:p w:rsidR="00135542" w:rsidRPr="007F4548" w:rsidRDefault="003307DB" w:rsidP="00135542">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Table 1 synthesizes the socio-demographic characteristics of students who were involved in this research</w:t>
      </w:r>
      <w:r w:rsidR="00670F63" w:rsidRPr="007F4548">
        <w:rPr>
          <w:rFonts w:ascii="Times New Roman" w:hAnsi="Times New Roman"/>
          <w:sz w:val="24"/>
          <w:szCs w:val="24"/>
          <w:lang w:val="en-GB" w:eastAsia="it-IT"/>
        </w:rPr>
        <w:t>.</w:t>
      </w:r>
      <w:r w:rsidR="00D83BB9" w:rsidRPr="007F4548">
        <w:rPr>
          <w:rFonts w:ascii="Times New Roman" w:hAnsi="Times New Roman"/>
          <w:sz w:val="24"/>
          <w:szCs w:val="24"/>
          <w:lang w:val="en-GB" w:eastAsia="it-IT"/>
        </w:rPr>
        <w:t xml:space="preserve"> Women represented more the 2 in 3 </w:t>
      </w:r>
      <w:r w:rsidR="00F36140" w:rsidRPr="007F4548">
        <w:rPr>
          <w:rFonts w:ascii="Times New Roman" w:hAnsi="Times New Roman"/>
          <w:sz w:val="24"/>
          <w:szCs w:val="24"/>
          <w:lang w:val="en-GB" w:eastAsia="it-IT"/>
        </w:rPr>
        <w:t>people</w:t>
      </w:r>
      <w:r w:rsidR="00D83BB9" w:rsidRPr="007F4548">
        <w:rPr>
          <w:rFonts w:ascii="Times New Roman" w:hAnsi="Times New Roman"/>
          <w:sz w:val="24"/>
          <w:szCs w:val="24"/>
          <w:lang w:val="en-GB" w:eastAsia="it-IT"/>
        </w:rPr>
        <w:t xml:space="preserve"> (75.2%), whilst men covered </w:t>
      </w:r>
      <w:r w:rsidR="0053778C" w:rsidRPr="007F4548">
        <w:rPr>
          <w:rFonts w:ascii="Times New Roman" w:hAnsi="Times New Roman"/>
          <w:sz w:val="24"/>
          <w:szCs w:val="24"/>
          <w:lang w:val="en-GB" w:eastAsia="it-IT"/>
        </w:rPr>
        <w:t xml:space="preserve">about </w:t>
      </w:r>
      <w:r w:rsidR="00D83BB9" w:rsidRPr="007F4548">
        <w:rPr>
          <w:rFonts w:ascii="Times New Roman" w:hAnsi="Times New Roman"/>
          <w:sz w:val="24"/>
          <w:szCs w:val="24"/>
          <w:lang w:val="en-GB" w:eastAsia="it-IT"/>
        </w:rPr>
        <w:t xml:space="preserve">a quarter of the sample (24.8%): these data mirrored the distribution </w:t>
      </w:r>
      <w:r w:rsidR="0053778C" w:rsidRPr="007F4548">
        <w:rPr>
          <w:rFonts w:ascii="Times New Roman" w:hAnsi="Times New Roman"/>
          <w:sz w:val="24"/>
          <w:szCs w:val="24"/>
          <w:lang w:val="en-GB" w:eastAsia="it-IT"/>
        </w:rPr>
        <w:t xml:space="preserve">per gender </w:t>
      </w:r>
      <w:r w:rsidR="00D83BB9" w:rsidRPr="007F4548">
        <w:rPr>
          <w:rFonts w:ascii="Times New Roman" w:hAnsi="Times New Roman"/>
          <w:sz w:val="24"/>
          <w:szCs w:val="24"/>
          <w:lang w:val="en-GB" w:eastAsia="it-IT"/>
        </w:rPr>
        <w:t xml:space="preserve">of students enrolled at the case university, with women (62.5%) prevailing over men (37.5%). </w:t>
      </w:r>
      <w:r w:rsidR="00337E20" w:rsidRPr="007F4548">
        <w:rPr>
          <w:rFonts w:ascii="Times New Roman" w:hAnsi="Times New Roman"/>
          <w:sz w:val="24"/>
          <w:szCs w:val="24"/>
          <w:lang w:val="en-GB" w:eastAsia="it-IT"/>
        </w:rPr>
        <w:t>The sample was evenly distributed in terms of age group: about 1 in 6 students (16.9%) were aged between 19 and 21 years; a third of respondents (32.3%) had an age ranging between 22 years and 25 years; the remaining part of the sample was fairly distributed among those aged between 26 years and 28 years (</w:t>
      </w:r>
      <w:r w:rsidR="00F902D9" w:rsidRPr="007F4548">
        <w:rPr>
          <w:rFonts w:ascii="Times New Roman" w:hAnsi="Times New Roman"/>
          <w:sz w:val="24"/>
          <w:szCs w:val="24"/>
          <w:lang w:val="en-GB" w:eastAsia="it-IT"/>
        </w:rPr>
        <w:t>29.3%</w:t>
      </w:r>
      <w:r w:rsidR="00337E20" w:rsidRPr="007F4548">
        <w:rPr>
          <w:rFonts w:ascii="Times New Roman" w:hAnsi="Times New Roman"/>
          <w:sz w:val="24"/>
          <w:szCs w:val="24"/>
          <w:lang w:val="en-GB" w:eastAsia="it-IT"/>
        </w:rPr>
        <w:t>) and those aged 29 years and more (</w:t>
      </w:r>
      <w:r w:rsidR="00F902D9" w:rsidRPr="007F4548">
        <w:rPr>
          <w:rFonts w:ascii="Times New Roman" w:hAnsi="Times New Roman"/>
          <w:sz w:val="24"/>
          <w:szCs w:val="24"/>
          <w:lang w:val="en-GB" w:eastAsia="it-IT"/>
        </w:rPr>
        <w:t>21.5%</w:t>
      </w:r>
      <w:r w:rsidR="00337E20" w:rsidRPr="007F4548">
        <w:rPr>
          <w:rFonts w:ascii="Times New Roman" w:hAnsi="Times New Roman"/>
          <w:sz w:val="24"/>
          <w:szCs w:val="24"/>
          <w:lang w:val="en-GB" w:eastAsia="it-IT"/>
        </w:rPr>
        <w:t>).</w:t>
      </w:r>
      <w:r w:rsidR="003A07C0" w:rsidRPr="007F4548">
        <w:rPr>
          <w:rFonts w:ascii="Times New Roman" w:hAnsi="Times New Roman"/>
          <w:sz w:val="24"/>
          <w:szCs w:val="24"/>
          <w:lang w:val="en-GB" w:eastAsia="it-IT"/>
        </w:rPr>
        <w:t xml:space="preserve"> About 1 in 4 students (24.7%) lived in the city centre or in the immediate suburbs of the city centre; the majority of respondents lived either in the hinterlands of the city where the case institution was established (35.5%) or in other provinces in North-western Italy (31.6%); a small portion of the sample</w:t>
      </w:r>
      <w:r w:rsidR="003760A4" w:rsidRPr="007F4548">
        <w:rPr>
          <w:rFonts w:ascii="Times New Roman" w:hAnsi="Times New Roman"/>
          <w:sz w:val="24"/>
          <w:szCs w:val="24"/>
          <w:lang w:val="en-GB" w:eastAsia="it-IT"/>
        </w:rPr>
        <w:t xml:space="preserve"> consisted of people habitually living in other geographical areas than North-western Italy (4.3%) or outside Italy (3.9%).</w:t>
      </w:r>
      <w:r w:rsidR="001B178D" w:rsidRPr="007F4548">
        <w:rPr>
          <w:rFonts w:ascii="Times New Roman" w:hAnsi="Times New Roman"/>
          <w:sz w:val="24"/>
          <w:szCs w:val="24"/>
          <w:lang w:val="en-GB" w:eastAsia="it-IT"/>
        </w:rPr>
        <w:t xml:space="preserve"> More than a quarter of students (22%) were attending at a degree course hosted by the department of humanities and social science; economics and management (18%), classical languages (17.4%), modern languages (15.3%), and informatics (11.7%) followed. Both the departments of law (7.3%) and engineering (8.3%) accounted for less than 1 in 10 students respectively.</w:t>
      </w:r>
    </w:p>
    <w:p w:rsidR="00652392" w:rsidRPr="007F4548" w:rsidRDefault="004122EA" w:rsidP="00980A89">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lastRenderedPageBreak/>
        <w:t>Table 2 depicts the characteristics of the sample of academics who accepted to take part in this research</w:t>
      </w:r>
      <w:r w:rsidR="00101D0D" w:rsidRPr="007F4548">
        <w:rPr>
          <w:rFonts w:ascii="Times New Roman" w:hAnsi="Times New Roman"/>
          <w:sz w:val="24"/>
          <w:szCs w:val="24"/>
          <w:lang w:val="en-GB" w:eastAsia="it-IT"/>
        </w:rPr>
        <w:t>.</w:t>
      </w:r>
      <w:r w:rsidRPr="007F4548">
        <w:rPr>
          <w:rFonts w:ascii="Times New Roman" w:hAnsi="Times New Roman"/>
          <w:sz w:val="24"/>
          <w:szCs w:val="24"/>
          <w:lang w:val="en-GB" w:eastAsia="it-IT"/>
        </w:rPr>
        <w:t xml:space="preserve"> Men (53.4%) slightly prevailed over women (4</w:t>
      </w:r>
      <w:r w:rsidR="003846D1" w:rsidRPr="007F4548">
        <w:rPr>
          <w:rFonts w:ascii="Times New Roman" w:hAnsi="Times New Roman"/>
          <w:sz w:val="24"/>
          <w:szCs w:val="24"/>
          <w:lang w:val="en-GB" w:eastAsia="it-IT"/>
        </w:rPr>
        <w:t>6.6%</w:t>
      </w:r>
      <w:r w:rsidRPr="007F4548">
        <w:rPr>
          <w:rFonts w:ascii="Times New Roman" w:hAnsi="Times New Roman"/>
          <w:sz w:val="24"/>
          <w:szCs w:val="24"/>
          <w:lang w:val="en-GB" w:eastAsia="it-IT"/>
        </w:rPr>
        <w:t>)</w:t>
      </w:r>
      <w:r w:rsidR="003846D1" w:rsidRPr="007F4548">
        <w:rPr>
          <w:rFonts w:ascii="Times New Roman" w:hAnsi="Times New Roman"/>
          <w:sz w:val="24"/>
          <w:szCs w:val="24"/>
          <w:lang w:val="en-GB" w:eastAsia="it-IT"/>
        </w:rPr>
        <w:t>; once again, these data reflected the gender composition of the workforce employed by the case institution, with men representing about 6 in 10 members of the academic staff (59.5%). More than 1 in 6 academics were aged 35 years or less; people being aged between 36 and 45 years represented about a quarter of the sample (26.7%); the majority of academics involved in this study (31.4%) were aged between 46 years and 55 years, with the remaining part of the sample (24.6%) having</w:t>
      </w:r>
      <w:r w:rsidR="00DC1B98" w:rsidRPr="007F4548">
        <w:rPr>
          <w:rFonts w:ascii="Times New Roman" w:hAnsi="Times New Roman"/>
          <w:sz w:val="24"/>
          <w:szCs w:val="24"/>
          <w:lang w:val="en-GB" w:eastAsia="it-IT"/>
        </w:rPr>
        <w:t xml:space="preserve"> 56 years or more.</w:t>
      </w:r>
      <w:r w:rsidR="000F19ED" w:rsidRPr="007F4548">
        <w:rPr>
          <w:rFonts w:ascii="Times New Roman" w:hAnsi="Times New Roman"/>
          <w:sz w:val="24"/>
          <w:szCs w:val="24"/>
          <w:lang w:val="en-GB" w:eastAsia="it-IT"/>
        </w:rPr>
        <w:t xml:space="preserve"> About half of the sample reported to live either in the near proximity of the city centre (26.7%) or in the hamlets of the city where the case institution was established (21.1%); most of academics (39.3%) lived in other provinces located in North-western Italy. More than 1 in 10 academics (11.6%) reported to live in other geographical areas of Italy, whilst only 3 respondents (1.3%) lived outside Italy.</w:t>
      </w:r>
      <w:r w:rsidR="0008629C" w:rsidRPr="007F4548">
        <w:rPr>
          <w:rFonts w:ascii="Times New Roman" w:hAnsi="Times New Roman"/>
          <w:sz w:val="24"/>
          <w:szCs w:val="24"/>
          <w:lang w:val="en-GB" w:eastAsia="it-IT"/>
        </w:rPr>
        <w:t xml:space="preserve"> Lastly, yet importantly, academics were fairly distributed in terms of their scientific affiliation: about 1 in 10 respondents (9.9%) were part of the law department; engineering (16%), modern languages (16.3%), and humanities and social sciences (16%) accounted for about 1 in 6 academics respectively; slightly less than a fifth of academics (18.1%) belonged to the department of economics and management; the remaining part of the sample was evenly distributed among people affiliated to the departments of classical languages (12.5%) and informatics (11.3%).</w:t>
      </w:r>
    </w:p>
    <w:p w:rsidR="00191F9B" w:rsidRPr="007F4548" w:rsidRDefault="00191F9B" w:rsidP="00191F9B">
      <w:pPr>
        <w:spacing w:after="0" w:line="240" w:lineRule="auto"/>
        <w:jc w:val="both"/>
        <w:rPr>
          <w:rFonts w:ascii="Times New Roman" w:hAnsi="Times New Roman"/>
          <w:sz w:val="24"/>
          <w:szCs w:val="24"/>
          <w:lang w:val="en-GB" w:eastAsia="it-IT"/>
        </w:rPr>
      </w:pPr>
    </w:p>
    <w:p w:rsidR="00244742" w:rsidRPr="007F4548" w:rsidRDefault="00244742" w:rsidP="006B38B4">
      <w:pPr>
        <w:spacing w:after="0" w:line="240" w:lineRule="auto"/>
        <w:jc w:val="both"/>
        <w:rPr>
          <w:rFonts w:ascii="Times New Roman Grassetto" w:hAnsi="Times New Roman Grassetto"/>
          <w:b/>
          <w:sz w:val="20"/>
          <w:szCs w:val="24"/>
          <w:lang w:val="en-GB"/>
        </w:rPr>
      </w:pPr>
      <w:r w:rsidRPr="007F4548">
        <w:rPr>
          <w:rFonts w:ascii="Times New Roman Grassetto" w:hAnsi="Times New Roman Grassetto"/>
          <w:b/>
          <w:sz w:val="20"/>
          <w:szCs w:val="24"/>
          <w:lang w:val="en-GB"/>
        </w:rPr>
        <w:t>Table 1. The students participating in the study (n = 1,243)</w:t>
      </w:r>
    </w:p>
    <w:tbl>
      <w:tblPr>
        <w:tblW w:w="9358" w:type="dxa"/>
        <w:tblLook w:val="04A0"/>
      </w:tblPr>
      <w:tblGrid>
        <w:gridCol w:w="5954"/>
        <w:gridCol w:w="1843"/>
        <w:gridCol w:w="1561"/>
      </w:tblGrid>
      <w:tr w:rsidR="00244742" w:rsidRPr="007F4548" w:rsidTr="00560E19">
        <w:tc>
          <w:tcPr>
            <w:tcW w:w="5954" w:type="dxa"/>
            <w:vMerge w:val="restart"/>
            <w:shd w:val="clear" w:color="auto" w:fill="auto"/>
            <w:vAlign w:val="center"/>
          </w:tcPr>
          <w:p w:rsidR="00244742" w:rsidRPr="007F4548" w:rsidRDefault="00244742" w:rsidP="00560E19">
            <w:pPr>
              <w:spacing w:after="120" w:line="240" w:lineRule="auto"/>
              <w:rPr>
                <w:rFonts w:ascii="Arial" w:hAnsi="Arial" w:cs="Arial"/>
                <w:sz w:val="18"/>
                <w:szCs w:val="18"/>
                <w:lang w:val="en-GB"/>
              </w:rPr>
            </w:pPr>
            <w:r w:rsidRPr="007F4548">
              <w:rPr>
                <w:rFonts w:ascii="Arial" w:hAnsi="Arial" w:cs="Arial"/>
                <w:sz w:val="18"/>
                <w:szCs w:val="18"/>
                <w:lang w:val="en-GB"/>
              </w:rPr>
              <w:t>Variable</w:t>
            </w:r>
          </w:p>
        </w:tc>
        <w:tc>
          <w:tcPr>
            <w:tcW w:w="3404" w:type="dxa"/>
            <w:gridSpan w:val="2"/>
            <w:shd w:val="clear" w:color="auto" w:fill="auto"/>
            <w:vAlign w:val="center"/>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Total</w:t>
            </w:r>
          </w:p>
        </w:tc>
      </w:tr>
      <w:tr w:rsidR="00244742" w:rsidRPr="007F4548" w:rsidTr="00560E19">
        <w:tc>
          <w:tcPr>
            <w:tcW w:w="5954" w:type="dxa"/>
            <w:vMerge/>
            <w:shd w:val="clear" w:color="auto" w:fill="auto"/>
          </w:tcPr>
          <w:p w:rsidR="00244742" w:rsidRPr="007F4548" w:rsidRDefault="00244742" w:rsidP="00560E19">
            <w:pPr>
              <w:spacing w:after="120" w:line="240" w:lineRule="auto"/>
              <w:rPr>
                <w:rFonts w:ascii="Arial" w:hAnsi="Arial" w:cs="Arial"/>
                <w:sz w:val="18"/>
                <w:szCs w:val="18"/>
                <w:lang w:val="en-GB"/>
              </w:rPr>
            </w:pPr>
          </w:p>
        </w:tc>
        <w:tc>
          <w:tcPr>
            <w:tcW w:w="1843" w:type="dxa"/>
            <w:shd w:val="clear" w:color="auto" w:fill="auto"/>
            <w:vAlign w:val="center"/>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No.</w:t>
            </w:r>
          </w:p>
        </w:tc>
        <w:tc>
          <w:tcPr>
            <w:tcW w:w="1561" w:type="dxa"/>
            <w:shd w:val="clear" w:color="auto" w:fill="auto"/>
            <w:vAlign w:val="center"/>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w:t>
            </w:r>
          </w:p>
        </w:tc>
      </w:tr>
      <w:tr w:rsidR="00244742" w:rsidRPr="007F4548" w:rsidTr="00560E19">
        <w:tc>
          <w:tcPr>
            <w:tcW w:w="9358" w:type="dxa"/>
            <w:gridSpan w:val="3"/>
            <w:tcBorders>
              <w:bottom w:val="single" w:sz="4" w:space="0" w:color="auto"/>
            </w:tcBorders>
            <w:shd w:val="pct10" w:color="auto" w:fill="auto"/>
          </w:tcPr>
          <w:p w:rsidR="00244742" w:rsidRPr="007F4548" w:rsidRDefault="00244742" w:rsidP="00560E19">
            <w:pPr>
              <w:spacing w:after="120" w:line="240" w:lineRule="auto"/>
              <w:rPr>
                <w:rFonts w:ascii="Arial" w:hAnsi="Arial" w:cs="Arial"/>
                <w:sz w:val="18"/>
                <w:szCs w:val="18"/>
                <w:lang w:val="en-GB"/>
              </w:rPr>
            </w:pPr>
            <w:r w:rsidRPr="007F4548">
              <w:rPr>
                <w:rFonts w:ascii="Arial" w:hAnsi="Arial" w:cs="Arial"/>
                <w:sz w:val="18"/>
                <w:szCs w:val="18"/>
                <w:lang w:val="en-GB"/>
              </w:rPr>
              <w:t>Gender</w:t>
            </w:r>
          </w:p>
        </w:tc>
      </w:tr>
      <w:tr w:rsidR="00244742" w:rsidRPr="007F4548" w:rsidTr="00560E19">
        <w:tc>
          <w:tcPr>
            <w:tcW w:w="5954" w:type="dxa"/>
            <w:tcBorders>
              <w:top w:val="single" w:sz="4" w:space="0" w:color="auto"/>
            </w:tcBorders>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Men</w:t>
            </w:r>
          </w:p>
        </w:tc>
        <w:tc>
          <w:tcPr>
            <w:tcW w:w="1843" w:type="dxa"/>
            <w:tcBorders>
              <w:top w:val="single" w:sz="4" w:space="0" w:color="auto"/>
            </w:tcBorders>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308</w:t>
            </w:r>
          </w:p>
        </w:tc>
        <w:tc>
          <w:tcPr>
            <w:tcW w:w="1561" w:type="dxa"/>
            <w:tcBorders>
              <w:top w:val="single" w:sz="4" w:space="0" w:color="auto"/>
            </w:tcBorders>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24.8</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Women</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935</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75.2</w:t>
            </w:r>
          </w:p>
        </w:tc>
      </w:tr>
      <w:tr w:rsidR="00244742" w:rsidRPr="007F4548" w:rsidTr="00560E19">
        <w:tc>
          <w:tcPr>
            <w:tcW w:w="9358" w:type="dxa"/>
            <w:gridSpan w:val="3"/>
            <w:tcBorders>
              <w:bottom w:val="single" w:sz="4" w:space="0" w:color="auto"/>
            </w:tcBorders>
            <w:shd w:val="pct10" w:color="auto" w:fill="auto"/>
          </w:tcPr>
          <w:p w:rsidR="00244742" w:rsidRPr="007F4548" w:rsidRDefault="00244742" w:rsidP="00560E19">
            <w:pPr>
              <w:spacing w:after="120" w:line="240" w:lineRule="auto"/>
              <w:rPr>
                <w:rFonts w:ascii="Arial" w:hAnsi="Arial" w:cs="Arial"/>
                <w:sz w:val="18"/>
                <w:szCs w:val="18"/>
                <w:lang w:val="en-GB"/>
              </w:rPr>
            </w:pPr>
            <w:r w:rsidRPr="007F4548">
              <w:rPr>
                <w:rFonts w:ascii="Arial" w:hAnsi="Arial" w:cs="Arial"/>
                <w:sz w:val="18"/>
                <w:szCs w:val="18"/>
                <w:lang w:val="en-GB"/>
              </w:rPr>
              <w:t>Age group</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Between 19 and 21 years</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210</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16.9</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Between 22 and 25 years</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401</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32.3</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Between 26 and 28 years</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364</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29.3</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29 years and more</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268</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21.5</w:t>
            </w:r>
          </w:p>
        </w:tc>
      </w:tr>
      <w:tr w:rsidR="00244742" w:rsidRPr="007F4548" w:rsidTr="00560E19">
        <w:tc>
          <w:tcPr>
            <w:tcW w:w="9358" w:type="dxa"/>
            <w:gridSpan w:val="3"/>
            <w:tcBorders>
              <w:bottom w:val="single" w:sz="4" w:space="0" w:color="auto"/>
            </w:tcBorders>
            <w:shd w:val="pct10" w:color="auto" w:fill="auto"/>
          </w:tcPr>
          <w:p w:rsidR="00244742" w:rsidRPr="007F4548" w:rsidRDefault="00244742" w:rsidP="00560E19">
            <w:pPr>
              <w:spacing w:after="120" w:line="240" w:lineRule="auto"/>
              <w:rPr>
                <w:rFonts w:ascii="Arial" w:hAnsi="Arial" w:cs="Arial"/>
                <w:sz w:val="18"/>
                <w:szCs w:val="18"/>
                <w:lang w:val="en-GB"/>
              </w:rPr>
            </w:pPr>
            <w:r w:rsidRPr="007F4548">
              <w:rPr>
                <w:rFonts w:ascii="Arial" w:hAnsi="Arial" w:cs="Arial"/>
                <w:sz w:val="18"/>
                <w:szCs w:val="18"/>
                <w:lang w:val="en-GB"/>
              </w:rPr>
              <w:t>Living area</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City centre</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307</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24.7</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Hinterlands of the city centre</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441</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35.5</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Other provinces in North-western Italy</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393</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31.6</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Other geographical areas of Italy</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53</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4.3</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Outside Italy</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49</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3.9</w:t>
            </w:r>
          </w:p>
        </w:tc>
      </w:tr>
      <w:tr w:rsidR="00244742" w:rsidRPr="001D4132" w:rsidTr="00560E19">
        <w:tc>
          <w:tcPr>
            <w:tcW w:w="9358" w:type="dxa"/>
            <w:gridSpan w:val="3"/>
            <w:tcBorders>
              <w:bottom w:val="single" w:sz="4" w:space="0" w:color="auto"/>
            </w:tcBorders>
            <w:shd w:val="pct10" w:color="auto" w:fill="auto"/>
          </w:tcPr>
          <w:p w:rsidR="00244742" w:rsidRPr="007F4548" w:rsidRDefault="00244742" w:rsidP="00560E19">
            <w:pPr>
              <w:spacing w:after="120" w:line="240" w:lineRule="auto"/>
              <w:rPr>
                <w:rFonts w:ascii="Arial" w:hAnsi="Arial" w:cs="Arial"/>
                <w:sz w:val="18"/>
                <w:szCs w:val="18"/>
                <w:lang w:val="en-GB"/>
              </w:rPr>
            </w:pPr>
            <w:r w:rsidRPr="007F4548">
              <w:rPr>
                <w:rFonts w:ascii="Arial" w:hAnsi="Arial" w:cs="Arial"/>
                <w:sz w:val="18"/>
                <w:szCs w:val="18"/>
                <w:lang w:val="en-GB"/>
              </w:rPr>
              <w:t>Scientific department hosting students’ degree programme</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Law</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91</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7.3</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Engineering</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103</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8.3</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Informatics</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146</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11.7</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Classical languages</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216</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17.4</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Modern languages</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190</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15.3</w:t>
            </w:r>
          </w:p>
        </w:tc>
      </w:tr>
      <w:tr w:rsidR="00244742" w:rsidRPr="007F4548" w:rsidTr="00560E19">
        <w:tc>
          <w:tcPr>
            <w:tcW w:w="5954" w:type="dxa"/>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Economics and management</w:t>
            </w:r>
          </w:p>
        </w:tc>
        <w:tc>
          <w:tcPr>
            <w:tcW w:w="1843"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224</w:t>
            </w:r>
          </w:p>
        </w:tc>
        <w:tc>
          <w:tcPr>
            <w:tcW w:w="1561" w:type="dxa"/>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18</w:t>
            </w:r>
          </w:p>
        </w:tc>
      </w:tr>
      <w:tr w:rsidR="00244742" w:rsidRPr="007F4548" w:rsidTr="00560E19">
        <w:tc>
          <w:tcPr>
            <w:tcW w:w="5954" w:type="dxa"/>
            <w:tcBorders>
              <w:bottom w:val="single" w:sz="4" w:space="0" w:color="auto"/>
            </w:tcBorders>
            <w:shd w:val="clear" w:color="auto" w:fill="auto"/>
          </w:tcPr>
          <w:p w:rsidR="00244742" w:rsidRPr="007F4548" w:rsidRDefault="00244742"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Humanities and social sciences</w:t>
            </w:r>
          </w:p>
        </w:tc>
        <w:tc>
          <w:tcPr>
            <w:tcW w:w="1843" w:type="dxa"/>
            <w:tcBorders>
              <w:bottom w:val="single" w:sz="4" w:space="0" w:color="auto"/>
            </w:tcBorders>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273</w:t>
            </w:r>
          </w:p>
        </w:tc>
        <w:tc>
          <w:tcPr>
            <w:tcW w:w="1561" w:type="dxa"/>
            <w:tcBorders>
              <w:bottom w:val="single" w:sz="4" w:space="0" w:color="auto"/>
            </w:tcBorders>
            <w:shd w:val="clear" w:color="auto" w:fill="auto"/>
          </w:tcPr>
          <w:p w:rsidR="00244742" w:rsidRPr="007F4548" w:rsidRDefault="00244742"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22</w:t>
            </w:r>
          </w:p>
        </w:tc>
      </w:tr>
    </w:tbl>
    <w:p w:rsidR="00244742" w:rsidRPr="007F4548" w:rsidRDefault="00244742" w:rsidP="00244742">
      <w:pPr>
        <w:jc w:val="right"/>
        <w:rPr>
          <w:rFonts w:ascii="Times New Roman" w:hAnsi="Times New Roman"/>
          <w:i/>
          <w:sz w:val="20"/>
          <w:lang w:val="en-GB"/>
        </w:rPr>
      </w:pPr>
      <w:r w:rsidRPr="007F4548">
        <w:rPr>
          <w:rFonts w:ascii="Times New Roman" w:hAnsi="Times New Roman"/>
          <w:i/>
          <w:sz w:val="20"/>
          <w:lang w:val="en-GB"/>
        </w:rPr>
        <w:lastRenderedPageBreak/>
        <w:t>Source: Authors’ elaboration</w:t>
      </w:r>
    </w:p>
    <w:p w:rsidR="0008629C" w:rsidRPr="007F4548" w:rsidRDefault="0008629C" w:rsidP="00191F9B">
      <w:pPr>
        <w:spacing w:after="0" w:line="240" w:lineRule="auto"/>
        <w:jc w:val="both"/>
        <w:rPr>
          <w:rFonts w:ascii="Times New Roman" w:hAnsi="Times New Roman"/>
          <w:sz w:val="24"/>
          <w:szCs w:val="24"/>
          <w:lang w:val="en-GB" w:eastAsia="it-IT"/>
        </w:rPr>
      </w:pPr>
    </w:p>
    <w:p w:rsidR="006B38B4" w:rsidRPr="007F4548" w:rsidRDefault="006B38B4" w:rsidP="006B38B4">
      <w:pPr>
        <w:spacing w:after="0" w:line="240" w:lineRule="auto"/>
        <w:jc w:val="both"/>
        <w:rPr>
          <w:rFonts w:ascii="Times New Roman Grassetto" w:hAnsi="Times New Roman Grassetto"/>
          <w:b/>
          <w:sz w:val="20"/>
          <w:szCs w:val="24"/>
          <w:lang w:val="en-GB"/>
        </w:rPr>
      </w:pPr>
      <w:r w:rsidRPr="007F4548">
        <w:rPr>
          <w:rFonts w:ascii="Times New Roman Grassetto" w:hAnsi="Times New Roman Grassetto"/>
          <w:b/>
          <w:sz w:val="20"/>
          <w:szCs w:val="24"/>
          <w:lang w:val="en-GB"/>
        </w:rPr>
        <w:t>Table 2. The academics participating in the study (n = 232)</w:t>
      </w:r>
    </w:p>
    <w:tbl>
      <w:tblPr>
        <w:tblW w:w="9358" w:type="dxa"/>
        <w:tblLook w:val="04A0"/>
      </w:tblPr>
      <w:tblGrid>
        <w:gridCol w:w="5954"/>
        <w:gridCol w:w="1843"/>
        <w:gridCol w:w="1561"/>
      </w:tblGrid>
      <w:tr w:rsidR="006B38B4" w:rsidRPr="007F4548" w:rsidTr="00560E19">
        <w:tc>
          <w:tcPr>
            <w:tcW w:w="5954" w:type="dxa"/>
            <w:vMerge w:val="restart"/>
            <w:shd w:val="clear" w:color="auto" w:fill="auto"/>
            <w:vAlign w:val="center"/>
          </w:tcPr>
          <w:p w:rsidR="006B38B4" w:rsidRPr="007F4548" w:rsidRDefault="006B38B4" w:rsidP="00560E19">
            <w:pPr>
              <w:spacing w:after="120" w:line="240" w:lineRule="auto"/>
              <w:rPr>
                <w:rFonts w:ascii="Arial" w:hAnsi="Arial" w:cs="Arial"/>
                <w:sz w:val="18"/>
                <w:szCs w:val="18"/>
                <w:lang w:val="en-GB"/>
              </w:rPr>
            </w:pPr>
            <w:r w:rsidRPr="007F4548">
              <w:rPr>
                <w:rFonts w:ascii="Arial" w:hAnsi="Arial" w:cs="Arial"/>
                <w:sz w:val="18"/>
                <w:szCs w:val="18"/>
                <w:lang w:val="en-GB"/>
              </w:rPr>
              <w:t>Variable</w:t>
            </w:r>
          </w:p>
        </w:tc>
        <w:tc>
          <w:tcPr>
            <w:tcW w:w="3404" w:type="dxa"/>
            <w:gridSpan w:val="2"/>
            <w:shd w:val="clear" w:color="auto" w:fill="auto"/>
            <w:vAlign w:val="center"/>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Total</w:t>
            </w:r>
          </w:p>
        </w:tc>
      </w:tr>
      <w:tr w:rsidR="006B38B4" w:rsidRPr="007F4548" w:rsidTr="00560E19">
        <w:tc>
          <w:tcPr>
            <w:tcW w:w="5954" w:type="dxa"/>
            <w:vMerge/>
            <w:shd w:val="clear" w:color="auto" w:fill="auto"/>
          </w:tcPr>
          <w:p w:rsidR="006B38B4" w:rsidRPr="007F4548" w:rsidRDefault="006B38B4" w:rsidP="00560E19">
            <w:pPr>
              <w:spacing w:after="120" w:line="240" w:lineRule="auto"/>
              <w:rPr>
                <w:rFonts w:ascii="Arial" w:hAnsi="Arial" w:cs="Arial"/>
                <w:sz w:val="18"/>
                <w:szCs w:val="18"/>
                <w:lang w:val="en-GB"/>
              </w:rPr>
            </w:pPr>
          </w:p>
        </w:tc>
        <w:tc>
          <w:tcPr>
            <w:tcW w:w="1843" w:type="dxa"/>
            <w:shd w:val="clear" w:color="auto" w:fill="auto"/>
            <w:vAlign w:val="center"/>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No.</w:t>
            </w:r>
          </w:p>
        </w:tc>
        <w:tc>
          <w:tcPr>
            <w:tcW w:w="1561" w:type="dxa"/>
            <w:shd w:val="clear" w:color="auto" w:fill="auto"/>
            <w:vAlign w:val="center"/>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w:t>
            </w:r>
          </w:p>
        </w:tc>
      </w:tr>
      <w:tr w:rsidR="006B38B4" w:rsidRPr="007F4548" w:rsidTr="00560E19">
        <w:tc>
          <w:tcPr>
            <w:tcW w:w="9358" w:type="dxa"/>
            <w:gridSpan w:val="3"/>
            <w:tcBorders>
              <w:bottom w:val="single" w:sz="4" w:space="0" w:color="auto"/>
            </w:tcBorders>
            <w:shd w:val="pct10" w:color="auto" w:fill="auto"/>
          </w:tcPr>
          <w:p w:rsidR="006B38B4" w:rsidRPr="007F4548" w:rsidRDefault="006B38B4" w:rsidP="00560E19">
            <w:pPr>
              <w:spacing w:after="120" w:line="240" w:lineRule="auto"/>
              <w:rPr>
                <w:rFonts w:ascii="Arial" w:hAnsi="Arial" w:cs="Arial"/>
                <w:sz w:val="18"/>
                <w:szCs w:val="18"/>
                <w:lang w:val="en-GB"/>
              </w:rPr>
            </w:pPr>
            <w:r w:rsidRPr="007F4548">
              <w:rPr>
                <w:rFonts w:ascii="Arial" w:hAnsi="Arial" w:cs="Arial"/>
                <w:sz w:val="18"/>
                <w:szCs w:val="18"/>
                <w:lang w:val="en-GB"/>
              </w:rPr>
              <w:t>Gender</w:t>
            </w:r>
          </w:p>
        </w:tc>
      </w:tr>
      <w:tr w:rsidR="006B38B4" w:rsidRPr="007F4548" w:rsidTr="00560E19">
        <w:tc>
          <w:tcPr>
            <w:tcW w:w="5954" w:type="dxa"/>
            <w:tcBorders>
              <w:top w:val="single" w:sz="4" w:space="0" w:color="auto"/>
            </w:tcBorders>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Men</w:t>
            </w:r>
          </w:p>
        </w:tc>
        <w:tc>
          <w:tcPr>
            <w:tcW w:w="1843" w:type="dxa"/>
            <w:tcBorders>
              <w:top w:val="single" w:sz="4" w:space="0" w:color="auto"/>
            </w:tcBorders>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124</w:t>
            </w:r>
          </w:p>
        </w:tc>
        <w:tc>
          <w:tcPr>
            <w:tcW w:w="1561" w:type="dxa"/>
            <w:tcBorders>
              <w:top w:val="single" w:sz="4" w:space="0" w:color="auto"/>
            </w:tcBorders>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53.4</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Women</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108</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46.6</w:t>
            </w:r>
          </w:p>
        </w:tc>
      </w:tr>
      <w:tr w:rsidR="006B38B4" w:rsidRPr="007F4548" w:rsidTr="00560E19">
        <w:tc>
          <w:tcPr>
            <w:tcW w:w="9358" w:type="dxa"/>
            <w:gridSpan w:val="3"/>
            <w:tcBorders>
              <w:bottom w:val="single" w:sz="4" w:space="0" w:color="auto"/>
            </w:tcBorders>
            <w:shd w:val="pct10" w:color="auto" w:fill="auto"/>
          </w:tcPr>
          <w:p w:rsidR="006B38B4" w:rsidRPr="007F4548" w:rsidRDefault="006B38B4" w:rsidP="00560E19">
            <w:pPr>
              <w:spacing w:after="120" w:line="240" w:lineRule="auto"/>
              <w:rPr>
                <w:rFonts w:ascii="Arial" w:hAnsi="Arial" w:cs="Arial"/>
                <w:sz w:val="18"/>
                <w:szCs w:val="18"/>
                <w:lang w:val="en-GB"/>
              </w:rPr>
            </w:pPr>
            <w:r w:rsidRPr="007F4548">
              <w:rPr>
                <w:rFonts w:ascii="Arial" w:hAnsi="Arial" w:cs="Arial"/>
                <w:sz w:val="18"/>
                <w:szCs w:val="18"/>
                <w:lang w:val="en-GB"/>
              </w:rPr>
              <w:t>Age group</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35 years or less</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40</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17.3</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Between 36 and 45 years</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62</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26.7</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Between 46 and 55 years</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73</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31.4</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56 years and more</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57</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24.6</w:t>
            </w:r>
          </w:p>
        </w:tc>
      </w:tr>
      <w:tr w:rsidR="006B38B4" w:rsidRPr="007F4548" w:rsidTr="00560E19">
        <w:tc>
          <w:tcPr>
            <w:tcW w:w="9358" w:type="dxa"/>
            <w:gridSpan w:val="3"/>
            <w:tcBorders>
              <w:bottom w:val="single" w:sz="4" w:space="0" w:color="auto"/>
            </w:tcBorders>
            <w:shd w:val="pct10" w:color="auto" w:fill="auto"/>
          </w:tcPr>
          <w:p w:rsidR="006B38B4" w:rsidRPr="007F4548" w:rsidRDefault="006B38B4" w:rsidP="00560E19">
            <w:pPr>
              <w:spacing w:after="120" w:line="240" w:lineRule="auto"/>
              <w:rPr>
                <w:rFonts w:ascii="Arial" w:hAnsi="Arial" w:cs="Arial"/>
                <w:sz w:val="18"/>
                <w:szCs w:val="18"/>
                <w:lang w:val="en-GB"/>
              </w:rPr>
            </w:pPr>
            <w:r w:rsidRPr="007F4548">
              <w:rPr>
                <w:rFonts w:ascii="Arial" w:hAnsi="Arial" w:cs="Arial"/>
                <w:sz w:val="18"/>
                <w:szCs w:val="18"/>
                <w:lang w:val="en-GB"/>
              </w:rPr>
              <w:t>Living area</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City centre</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62</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26.7</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Hinterlands of the city centre</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49</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21.1</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Other provinces in North-western Italy</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91</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39.3</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Other geographical areas of Italy</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27</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11.6</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Outside Italy</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1.3</w:t>
            </w:r>
          </w:p>
        </w:tc>
      </w:tr>
      <w:tr w:rsidR="006B38B4" w:rsidRPr="001D4132" w:rsidTr="00560E19">
        <w:tc>
          <w:tcPr>
            <w:tcW w:w="9358" w:type="dxa"/>
            <w:gridSpan w:val="3"/>
            <w:tcBorders>
              <w:bottom w:val="single" w:sz="4" w:space="0" w:color="auto"/>
            </w:tcBorders>
            <w:shd w:val="pct10" w:color="auto" w:fill="auto"/>
          </w:tcPr>
          <w:p w:rsidR="006B38B4" w:rsidRPr="007F4548" w:rsidRDefault="006B38B4" w:rsidP="00560E19">
            <w:pPr>
              <w:spacing w:after="120" w:line="240" w:lineRule="auto"/>
              <w:rPr>
                <w:rFonts w:ascii="Arial" w:hAnsi="Arial" w:cs="Arial"/>
                <w:sz w:val="18"/>
                <w:szCs w:val="18"/>
                <w:lang w:val="en-GB"/>
              </w:rPr>
            </w:pPr>
            <w:r w:rsidRPr="007F4548">
              <w:rPr>
                <w:rFonts w:ascii="Arial" w:hAnsi="Arial" w:cs="Arial"/>
                <w:sz w:val="18"/>
                <w:szCs w:val="18"/>
                <w:lang w:val="en-GB"/>
              </w:rPr>
              <w:t>Scientific department hosting students’ degree programme</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Law</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23</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9.9</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Engineering</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37</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16</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Informatics</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26</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11.2</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Classical languages</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29</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12.5</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Modern languages</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38</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16.3</w:t>
            </w:r>
          </w:p>
        </w:tc>
      </w:tr>
      <w:tr w:rsidR="006B38B4" w:rsidRPr="007F4548" w:rsidTr="00560E19">
        <w:tc>
          <w:tcPr>
            <w:tcW w:w="5954" w:type="dxa"/>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Economics and management</w:t>
            </w:r>
          </w:p>
        </w:tc>
        <w:tc>
          <w:tcPr>
            <w:tcW w:w="1843"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42</w:t>
            </w:r>
          </w:p>
        </w:tc>
        <w:tc>
          <w:tcPr>
            <w:tcW w:w="1561" w:type="dxa"/>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18.1</w:t>
            </w:r>
          </w:p>
        </w:tc>
      </w:tr>
      <w:tr w:rsidR="006B38B4" w:rsidRPr="007F4548" w:rsidTr="00560E19">
        <w:tc>
          <w:tcPr>
            <w:tcW w:w="5954" w:type="dxa"/>
            <w:tcBorders>
              <w:bottom w:val="single" w:sz="4" w:space="0" w:color="auto"/>
            </w:tcBorders>
            <w:shd w:val="clear" w:color="auto" w:fill="auto"/>
          </w:tcPr>
          <w:p w:rsidR="006B38B4" w:rsidRPr="007F4548" w:rsidRDefault="006B38B4" w:rsidP="00560E19">
            <w:pPr>
              <w:spacing w:after="120" w:line="240" w:lineRule="auto"/>
              <w:ind w:left="284"/>
              <w:rPr>
                <w:rFonts w:ascii="Arial" w:hAnsi="Arial" w:cs="Arial"/>
                <w:sz w:val="18"/>
                <w:szCs w:val="18"/>
                <w:lang w:val="en-GB"/>
              </w:rPr>
            </w:pPr>
            <w:r w:rsidRPr="007F4548">
              <w:rPr>
                <w:rFonts w:ascii="Arial" w:hAnsi="Arial" w:cs="Arial"/>
                <w:sz w:val="18"/>
                <w:szCs w:val="18"/>
                <w:lang w:val="en-GB"/>
              </w:rPr>
              <w:t>Humanities and social sciences</w:t>
            </w:r>
          </w:p>
        </w:tc>
        <w:tc>
          <w:tcPr>
            <w:tcW w:w="1843" w:type="dxa"/>
            <w:tcBorders>
              <w:bottom w:val="single" w:sz="4" w:space="0" w:color="auto"/>
            </w:tcBorders>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37</w:t>
            </w:r>
          </w:p>
        </w:tc>
        <w:tc>
          <w:tcPr>
            <w:tcW w:w="1561" w:type="dxa"/>
            <w:tcBorders>
              <w:bottom w:val="single" w:sz="4" w:space="0" w:color="auto"/>
            </w:tcBorders>
            <w:shd w:val="clear" w:color="auto" w:fill="auto"/>
          </w:tcPr>
          <w:p w:rsidR="006B38B4" w:rsidRPr="007F4548" w:rsidRDefault="006B38B4" w:rsidP="00560E19">
            <w:pPr>
              <w:spacing w:after="120" w:line="240" w:lineRule="auto"/>
              <w:jc w:val="center"/>
              <w:rPr>
                <w:rFonts w:ascii="Arial" w:hAnsi="Arial" w:cs="Arial"/>
                <w:sz w:val="18"/>
                <w:szCs w:val="18"/>
                <w:lang w:val="en-GB"/>
              </w:rPr>
            </w:pPr>
            <w:r w:rsidRPr="007F4548">
              <w:rPr>
                <w:rFonts w:ascii="Arial" w:hAnsi="Arial" w:cs="Arial"/>
                <w:sz w:val="18"/>
                <w:szCs w:val="18"/>
                <w:lang w:val="en-GB"/>
              </w:rPr>
              <w:t>16</w:t>
            </w:r>
          </w:p>
        </w:tc>
      </w:tr>
    </w:tbl>
    <w:p w:rsidR="006B38B4" w:rsidRPr="007F4548" w:rsidRDefault="006B38B4" w:rsidP="006B38B4">
      <w:pPr>
        <w:jc w:val="right"/>
        <w:rPr>
          <w:rFonts w:ascii="Times New Roman" w:hAnsi="Times New Roman"/>
          <w:i/>
          <w:sz w:val="20"/>
          <w:lang w:val="en-GB"/>
        </w:rPr>
      </w:pPr>
      <w:r w:rsidRPr="007F4548">
        <w:rPr>
          <w:rFonts w:ascii="Times New Roman" w:hAnsi="Times New Roman"/>
          <w:i/>
          <w:sz w:val="20"/>
          <w:lang w:val="en-GB"/>
        </w:rPr>
        <w:t>Source: Authors’ elaboration</w:t>
      </w:r>
    </w:p>
    <w:p w:rsidR="006B38B4" w:rsidRPr="007F4548" w:rsidRDefault="006B38B4" w:rsidP="00191F9B">
      <w:pPr>
        <w:spacing w:after="0" w:line="240" w:lineRule="auto"/>
        <w:jc w:val="both"/>
        <w:rPr>
          <w:rFonts w:ascii="Times New Roman" w:hAnsi="Times New Roman"/>
          <w:sz w:val="24"/>
          <w:szCs w:val="24"/>
          <w:lang w:val="en-GB" w:eastAsia="it-IT"/>
        </w:rPr>
      </w:pPr>
    </w:p>
    <w:p w:rsidR="00191F9B" w:rsidRPr="007F4548" w:rsidRDefault="00191F9B" w:rsidP="00191F9B">
      <w:pPr>
        <w:spacing w:after="0" w:line="240" w:lineRule="auto"/>
        <w:jc w:val="both"/>
        <w:rPr>
          <w:rFonts w:ascii="Times New Roman" w:hAnsi="Times New Roman"/>
          <w:sz w:val="24"/>
          <w:szCs w:val="24"/>
          <w:lang w:val="en-GB" w:eastAsia="it-IT"/>
        </w:rPr>
      </w:pPr>
    </w:p>
    <w:p w:rsidR="00191F9B" w:rsidRPr="007F4548" w:rsidRDefault="0012724A" w:rsidP="0012724A">
      <w:pPr>
        <w:pStyle w:val="Titre1"/>
        <w:numPr>
          <w:ilvl w:val="0"/>
          <w:numId w:val="5"/>
        </w:numPr>
        <w:ind w:left="284" w:hanging="284"/>
        <w:rPr>
          <w:rFonts w:ascii="Times New Roman" w:hAnsi="Times New Roman" w:cs="Times New Roman"/>
          <w:b/>
          <w:color w:val="000000" w:themeColor="text1"/>
          <w:sz w:val="24"/>
          <w:szCs w:val="24"/>
          <w:lang w:val="en-GB"/>
        </w:rPr>
      </w:pPr>
      <w:r w:rsidRPr="007F4548">
        <w:rPr>
          <w:rFonts w:ascii="Times New Roman" w:hAnsi="Times New Roman" w:cs="Times New Roman"/>
          <w:b/>
          <w:color w:val="000000" w:themeColor="text1"/>
          <w:sz w:val="24"/>
          <w:szCs w:val="24"/>
          <w:lang w:val="en-GB"/>
        </w:rPr>
        <w:t>Findings</w:t>
      </w:r>
    </w:p>
    <w:p w:rsidR="00191F9B" w:rsidRPr="007F4548" w:rsidRDefault="00191F9B" w:rsidP="00191F9B">
      <w:pPr>
        <w:spacing w:after="0" w:line="240" w:lineRule="auto"/>
        <w:jc w:val="both"/>
        <w:rPr>
          <w:rFonts w:ascii="Times New Roman" w:hAnsi="Times New Roman"/>
          <w:sz w:val="24"/>
          <w:szCs w:val="24"/>
          <w:lang w:val="en-GB"/>
        </w:rPr>
      </w:pPr>
    </w:p>
    <w:p w:rsidR="0012724A" w:rsidRPr="007F4548" w:rsidRDefault="0012724A" w:rsidP="0012724A">
      <w:pPr>
        <w:pStyle w:val="Titre2"/>
        <w:rPr>
          <w:rFonts w:ascii="Times New Roman" w:hAnsi="Times New Roman" w:cs="Times New Roman"/>
          <w:i/>
          <w:color w:val="000000" w:themeColor="text1"/>
          <w:sz w:val="24"/>
          <w:lang w:val="en-GB" w:eastAsia="it-IT"/>
        </w:rPr>
      </w:pPr>
      <w:r w:rsidRPr="007F4548">
        <w:rPr>
          <w:rFonts w:ascii="Times New Roman" w:hAnsi="Times New Roman" w:cs="Times New Roman"/>
          <w:i/>
          <w:color w:val="000000" w:themeColor="text1"/>
          <w:sz w:val="24"/>
          <w:lang w:val="en-GB" w:eastAsia="it-IT"/>
        </w:rPr>
        <w:t xml:space="preserve">3.1 </w:t>
      </w:r>
      <w:r w:rsidR="00980A89" w:rsidRPr="007F4548">
        <w:rPr>
          <w:rFonts w:ascii="Times New Roman" w:hAnsi="Times New Roman" w:cs="Times New Roman"/>
          <w:i/>
          <w:color w:val="000000" w:themeColor="text1"/>
          <w:sz w:val="24"/>
          <w:lang w:val="en-GB" w:eastAsia="it-IT"/>
        </w:rPr>
        <w:t>The students’ value expectations</w:t>
      </w:r>
    </w:p>
    <w:p w:rsidR="0012724A" w:rsidRPr="007F4548" w:rsidRDefault="002A638F" w:rsidP="0012724A">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The students involved in this research reported a variety of value expectations with the educational services provided by the case university</w:t>
      </w:r>
      <w:r w:rsidR="007F5BA7" w:rsidRPr="007F4548">
        <w:rPr>
          <w:rFonts w:ascii="Times New Roman" w:hAnsi="Times New Roman"/>
          <w:sz w:val="24"/>
          <w:szCs w:val="24"/>
          <w:lang w:val="en-GB" w:eastAsia="it-IT"/>
        </w:rPr>
        <w:t>.</w:t>
      </w:r>
      <w:r w:rsidRPr="007F4548">
        <w:rPr>
          <w:rFonts w:ascii="Times New Roman" w:hAnsi="Times New Roman"/>
          <w:sz w:val="24"/>
          <w:szCs w:val="24"/>
          <w:lang w:val="en-GB" w:eastAsia="it-IT"/>
        </w:rPr>
        <w:t xml:space="preserve"> Interestingly, </w:t>
      </w:r>
      <w:r w:rsidR="00BF7105" w:rsidRPr="007F4548">
        <w:rPr>
          <w:rFonts w:ascii="Times New Roman" w:hAnsi="Times New Roman"/>
          <w:sz w:val="24"/>
          <w:szCs w:val="24"/>
          <w:lang w:val="en-GB" w:eastAsia="it-IT"/>
        </w:rPr>
        <w:t>extrinsic</w:t>
      </w:r>
      <w:r w:rsidRPr="007F4548">
        <w:rPr>
          <w:rFonts w:ascii="Times New Roman" w:hAnsi="Times New Roman"/>
          <w:sz w:val="24"/>
          <w:szCs w:val="24"/>
          <w:lang w:val="en-GB" w:eastAsia="it-IT"/>
        </w:rPr>
        <w:t xml:space="preserve"> factors represented the main driver of value expectations of respondents. Slightly less than 2 in 3 students (63.9%) reported that the key factor triggering their decision to attend at one of the degree courses delivered by the case institution was the opportunity to </w:t>
      </w:r>
      <w:r w:rsidR="00BF7105" w:rsidRPr="007F4548">
        <w:rPr>
          <w:rFonts w:ascii="Times New Roman" w:hAnsi="Times New Roman"/>
          <w:sz w:val="24"/>
          <w:szCs w:val="24"/>
          <w:lang w:val="en-GB" w:eastAsia="it-IT"/>
        </w:rPr>
        <w:t xml:space="preserve">experience a learning process which was tailored to the distinguishing characteristics of the local environment, thus improving their ability to match the labour demand of firms operating in the surrounding area of the case institution. In addition to extrinsic factors, intrinsic triggers were also contemplated among the students’ value expectations. In fact, more than half of the sample </w:t>
      </w:r>
      <w:r w:rsidR="00BF7105" w:rsidRPr="007F4548">
        <w:rPr>
          <w:rFonts w:ascii="Times New Roman" w:hAnsi="Times New Roman"/>
          <w:sz w:val="24"/>
          <w:szCs w:val="24"/>
          <w:lang w:val="en-GB" w:eastAsia="it-IT"/>
        </w:rPr>
        <w:lastRenderedPageBreak/>
        <w:t>(52.8%) maintained that they were strongly interested in the distinctive identity of the case institution and, consequently, in its ability to concur in the education and training of people with a strong sense of affiliation and belonging to a community.</w:t>
      </w:r>
    </w:p>
    <w:p w:rsidR="00980A89" w:rsidRPr="007F4548" w:rsidRDefault="008A3104" w:rsidP="0012724A">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 xml:space="preserve">Whilst extrinsic and intrinsic factors seemed to perform as the key driver of </w:t>
      </w:r>
      <w:r w:rsidR="00F87CF6" w:rsidRPr="007F4548">
        <w:rPr>
          <w:rFonts w:ascii="Times New Roman" w:hAnsi="Times New Roman"/>
          <w:sz w:val="24"/>
          <w:szCs w:val="24"/>
          <w:lang w:val="en-GB" w:eastAsia="it-IT"/>
        </w:rPr>
        <w:t xml:space="preserve">students’ value expectations, we noticed that </w:t>
      </w:r>
      <w:r w:rsidR="00BF0956" w:rsidRPr="007F4548">
        <w:rPr>
          <w:rFonts w:ascii="Times New Roman" w:hAnsi="Times New Roman"/>
          <w:sz w:val="24"/>
          <w:szCs w:val="24"/>
          <w:lang w:val="en-GB" w:eastAsia="it-IT"/>
        </w:rPr>
        <w:t>functional and social dimensions had a role in addressing students’ prospects, too</w:t>
      </w:r>
      <w:r w:rsidR="00980A89" w:rsidRPr="007F4548">
        <w:rPr>
          <w:rFonts w:ascii="Times New Roman" w:hAnsi="Times New Roman"/>
          <w:sz w:val="24"/>
          <w:szCs w:val="24"/>
          <w:lang w:val="en-GB" w:eastAsia="it-IT"/>
        </w:rPr>
        <w:t>.</w:t>
      </w:r>
      <w:r w:rsidR="00BF0956" w:rsidRPr="007F4548">
        <w:rPr>
          <w:rFonts w:ascii="Times New Roman" w:hAnsi="Times New Roman"/>
          <w:sz w:val="24"/>
          <w:szCs w:val="24"/>
          <w:lang w:val="en-GB" w:eastAsia="it-IT"/>
        </w:rPr>
        <w:t xml:space="preserve"> On the one hand, about 15% of respondents emphasized that their decision to become students of the case institution was motivated by the perception of a high value for money; in other words, educational quality was considered to overwhelm the price charged for the enrolment at the case university. On the other hand, more than 1 in 10 respondents (10.8%) emphasized that they were primarily attracted by the social network gravitating towards the case institution and by the opportunity to participate in it. Figure 1 graphically summarizes the main drivers of value expectations reported by students, stressing the prevalence of extrinsic and intrinsic factors.</w:t>
      </w:r>
    </w:p>
    <w:p w:rsidR="0012724A" w:rsidRPr="007F4548" w:rsidRDefault="0012724A" w:rsidP="00191F9B">
      <w:pPr>
        <w:spacing w:after="0" w:line="240" w:lineRule="auto"/>
        <w:jc w:val="both"/>
        <w:rPr>
          <w:rFonts w:ascii="Times New Roman" w:hAnsi="Times New Roman"/>
          <w:sz w:val="24"/>
          <w:szCs w:val="24"/>
          <w:lang w:val="en-GB"/>
        </w:rPr>
      </w:pPr>
    </w:p>
    <w:p w:rsidR="00BF0956" w:rsidRPr="007F4548" w:rsidRDefault="00BF0956" w:rsidP="00BF0956">
      <w:pPr>
        <w:spacing w:after="0" w:line="240" w:lineRule="auto"/>
        <w:jc w:val="both"/>
        <w:rPr>
          <w:rFonts w:ascii="Times New Roman Grassetto" w:hAnsi="Times New Roman Grassetto"/>
          <w:b/>
          <w:sz w:val="20"/>
          <w:szCs w:val="24"/>
          <w:lang w:val="en-GB"/>
        </w:rPr>
      </w:pPr>
      <w:r w:rsidRPr="007F4548">
        <w:rPr>
          <w:rFonts w:ascii="Times New Roman Grassetto" w:hAnsi="Times New Roman Grassetto"/>
          <w:b/>
          <w:sz w:val="20"/>
          <w:szCs w:val="24"/>
          <w:lang w:val="en-GB"/>
        </w:rPr>
        <w:t>Figure 1. The students</w:t>
      </w:r>
      <w:r w:rsidR="00005E2A" w:rsidRPr="007F4548">
        <w:rPr>
          <w:rFonts w:ascii="Times New Roman Grassetto" w:hAnsi="Times New Roman Grassetto"/>
          <w:b/>
          <w:sz w:val="20"/>
          <w:szCs w:val="24"/>
          <w:lang w:val="en-GB"/>
        </w:rPr>
        <w:t>’</w:t>
      </w:r>
      <w:r w:rsidRPr="007F4548">
        <w:rPr>
          <w:rFonts w:ascii="Times New Roman Grassetto" w:hAnsi="Times New Roman Grassetto"/>
          <w:b/>
          <w:sz w:val="20"/>
          <w:szCs w:val="24"/>
          <w:lang w:val="en-GB"/>
        </w:rPr>
        <w:t xml:space="preserve"> value expectations</w:t>
      </w:r>
      <w:r w:rsidR="00005E2A" w:rsidRPr="007F4548">
        <w:rPr>
          <w:rFonts w:ascii="Times New Roman Grassetto" w:hAnsi="Times New Roman Grassetto"/>
          <w:b/>
          <w:sz w:val="20"/>
          <w:szCs w:val="24"/>
          <w:lang w:val="en-GB"/>
        </w:rPr>
        <w:t xml:space="preserve"> toward</w:t>
      </w:r>
      <w:r w:rsidR="007C1160" w:rsidRPr="007F4548">
        <w:rPr>
          <w:rFonts w:ascii="Times New Roman Grassetto" w:hAnsi="Times New Roman Grassetto"/>
          <w:b/>
          <w:sz w:val="20"/>
          <w:szCs w:val="24"/>
          <w:lang w:val="en-GB"/>
        </w:rPr>
        <w:t>s</w:t>
      </w:r>
      <w:r w:rsidR="00005E2A" w:rsidRPr="007F4548">
        <w:rPr>
          <w:rFonts w:ascii="Times New Roman Grassetto" w:hAnsi="Times New Roman Grassetto"/>
          <w:b/>
          <w:sz w:val="20"/>
          <w:szCs w:val="24"/>
          <w:lang w:val="en-GB"/>
        </w:rPr>
        <w:t xml:space="preserve"> the case university</w:t>
      </w:r>
    </w:p>
    <w:p w:rsidR="00A278F9" w:rsidRPr="007F4548" w:rsidRDefault="00A278F9" w:rsidP="00BF0956">
      <w:pPr>
        <w:spacing w:after="0" w:line="240" w:lineRule="auto"/>
        <w:jc w:val="both"/>
        <w:rPr>
          <w:rFonts w:ascii="Times New Roman Grassetto" w:hAnsi="Times New Roman Grassetto"/>
          <w:b/>
          <w:sz w:val="20"/>
          <w:szCs w:val="24"/>
          <w:lang w:val="en-GB"/>
        </w:rPr>
      </w:pPr>
    </w:p>
    <w:p w:rsidR="00005E2A" w:rsidRPr="007F4548" w:rsidRDefault="00BF0956" w:rsidP="00005E2A">
      <w:pPr>
        <w:keepNext/>
        <w:spacing w:after="0" w:line="240" w:lineRule="auto"/>
        <w:jc w:val="center"/>
        <w:rPr>
          <w:lang w:val="en-GB"/>
        </w:rPr>
      </w:pPr>
      <w:r w:rsidRPr="007F4548">
        <w:rPr>
          <w:noProof/>
          <w:lang w:val="fr-FR" w:eastAsia="fr-FR"/>
        </w:rPr>
        <w:drawing>
          <wp:inline distT="0" distB="0" distL="0" distR="0">
            <wp:extent cx="4885765" cy="2590800"/>
            <wp:effectExtent l="0" t="0" r="1016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5E2A" w:rsidRPr="007F4548" w:rsidRDefault="00005E2A" w:rsidP="00005E2A">
      <w:pPr>
        <w:jc w:val="right"/>
        <w:rPr>
          <w:rFonts w:ascii="Times New Roman" w:hAnsi="Times New Roman"/>
          <w:i/>
          <w:sz w:val="20"/>
          <w:lang w:val="en-GB"/>
        </w:rPr>
      </w:pPr>
      <w:r w:rsidRPr="007F4548">
        <w:rPr>
          <w:rFonts w:ascii="Times New Roman" w:hAnsi="Times New Roman"/>
          <w:i/>
          <w:sz w:val="20"/>
          <w:lang w:val="en-GB"/>
        </w:rPr>
        <w:t>Source: Authors’ elaboration</w:t>
      </w:r>
    </w:p>
    <w:p w:rsidR="00BF0956" w:rsidRPr="007F4548" w:rsidRDefault="00BF0956" w:rsidP="00191F9B">
      <w:pPr>
        <w:spacing w:after="0" w:line="240" w:lineRule="auto"/>
        <w:jc w:val="both"/>
        <w:rPr>
          <w:rFonts w:ascii="Times New Roman" w:hAnsi="Times New Roman"/>
          <w:sz w:val="24"/>
          <w:szCs w:val="24"/>
          <w:lang w:val="en-GB"/>
        </w:rPr>
      </w:pPr>
    </w:p>
    <w:p w:rsidR="00BF0956" w:rsidRPr="007F4548" w:rsidRDefault="00005E2A" w:rsidP="00BF0956">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However, the students’ value expectations only partially matched their perceived satisfaction with the educational services provided by the case university</w:t>
      </w:r>
      <w:r w:rsidR="00BF0956" w:rsidRPr="007F4548">
        <w:rPr>
          <w:rFonts w:ascii="Times New Roman" w:hAnsi="Times New Roman"/>
          <w:sz w:val="24"/>
          <w:szCs w:val="24"/>
          <w:lang w:val="en-GB" w:eastAsia="it-IT"/>
        </w:rPr>
        <w:t>.</w:t>
      </w:r>
      <w:r w:rsidRPr="007F4548">
        <w:rPr>
          <w:rFonts w:ascii="Times New Roman" w:hAnsi="Times New Roman"/>
          <w:sz w:val="24"/>
          <w:szCs w:val="24"/>
          <w:lang w:val="en-GB" w:eastAsia="it-IT"/>
        </w:rPr>
        <w:t xml:space="preserve"> Figure 2 shows some details about the self-reported quality assessment of students who were involved in this study. It is worth noting that the general satisfaction of students </w:t>
      </w:r>
      <w:r w:rsidR="00E168BD" w:rsidRPr="007F4548">
        <w:rPr>
          <w:rFonts w:ascii="Times New Roman" w:hAnsi="Times New Roman"/>
          <w:sz w:val="24"/>
          <w:szCs w:val="24"/>
          <w:lang w:val="en-GB" w:eastAsia="it-IT"/>
        </w:rPr>
        <w:t xml:space="preserve">was above the sufficiency (µ = </w:t>
      </w:r>
      <w:r w:rsidR="00495AB6" w:rsidRPr="007F4548">
        <w:rPr>
          <w:rFonts w:ascii="Times New Roman" w:hAnsi="Times New Roman"/>
          <w:sz w:val="24"/>
          <w:szCs w:val="24"/>
          <w:lang w:val="en-GB" w:eastAsia="it-IT"/>
        </w:rPr>
        <w:t>7</w:t>
      </w:r>
      <w:r w:rsidR="00E168BD" w:rsidRPr="007F4548">
        <w:rPr>
          <w:rFonts w:ascii="Times New Roman" w:hAnsi="Times New Roman"/>
          <w:sz w:val="24"/>
          <w:szCs w:val="24"/>
          <w:lang w:val="en-GB" w:eastAsia="it-IT"/>
        </w:rPr>
        <w:t>.</w:t>
      </w:r>
      <w:r w:rsidR="00495AB6" w:rsidRPr="007F4548">
        <w:rPr>
          <w:rFonts w:ascii="Times New Roman" w:hAnsi="Times New Roman"/>
          <w:sz w:val="24"/>
          <w:szCs w:val="24"/>
          <w:lang w:val="en-GB" w:eastAsia="it-IT"/>
        </w:rPr>
        <w:t>1</w:t>
      </w:r>
      <w:r w:rsidR="00E168BD" w:rsidRPr="007F4548">
        <w:rPr>
          <w:rFonts w:ascii="Times New Roman" w:hAnsi="Times New Roman"/>
          <w:sz w:val="24"/>
          <w:szCs w:val="24"/>
          <w:lang w:val="en-GB" w:eastAsia="it-IT"/>
        </w:rPr>
        <w:t xml:space="preserve">; σ = </w:t>
      </w:r>
      <w:r w:rsidR="00495AB6" w:rsidRPr="007F4548">
        <w:rPr>
          <w:rFonts w:ascii="Times New Roman" w:hAnsi="Times New Roman"/>
          <w:sz w:val="24"/>
          <w:szCs w:val="24"/>
          <w:lang w:val="en-GB" w:eastAsia="it-IT"/>
        </w:rPr>
        <w:t>1</w:t>
      </w:r>
      <w:r w:rsidR="00E168BD" w:rsidRPr="007F4548">
        <w:rPr>
          <w:rFonts w:ascii="Times New Roman" w:hAnsi="Times New Roman"/>
          <w:sz w:val="24"/>
          <w:szCs w:val="24"/>
          <w:lang w:val="en-GB" w:eastAsia="it-IT"/>
        </w:rPr>
        <w:t>.</w:t>
      </w:r>
      <w:r w:rsidR="00495AB6" w:rsidRPr="007F4548">
        <w:rPr>
          <w:rFonts w:ascii="Times New Roman" w:hAnsi="Times New Roman"/>
          <w:sz w:val="24"/>
          <w:szCs w:val="24"/>
          <w:lang w:val="en-GB" w:eastAsia="it-IT"/>
        </w:rPr>
        <w:t>9</w:t>
      </w:r>
      <w:r w:rsidR="00E168BD" w:rsidRPr="007F4548">
        <w:rPr>
          <w:rFonts w:ascii="Times New Roman" w:hAnsi="Times New Roman"/>
          <w:sz w:val="24"/>
          <w:szCs w:val="24"/>
          <w:lang w:val="en-GB" w:eastAsia="it-IT"/>
        </w:rPr>
        <w:t>)</w:t>
      </w:r>
      <w:r w:rsidR="00270A94" w:rsidRPr="007F4548">
        <w:rPr>
          <w:rFonts w:ascii="Times New Roman" w:hAnsi="Times New Roman"/>
          <w:sz w:val="24"/>
          <w:szCs w:val="24"/>
          <w:lang w:val="en-GB" w:eastAsia="it-IT"/>
        </w:rPr>
        <w:t xml:space="preserve">: </w:t>
      </w:r>
      <w:r w:rsidR="00495AB6" w:rsidRPr="007F4548">
        <w:rPr>
          <w:rFonts w:ascii="Times New Roman" w:hAnsi="Times New Roman"/>
          <w:sz w:val="24"/>
          <w:szCs w:val="24"/>
          <w:lang w:val="en-GB" w:eastAsia="it-IT"/>
        </w:rPr>
        <w:t>however, about a fifth</w:t>
      </w:r>
      <w:r w:rsidR="00270A94" w:rsidRPr="007F4548">
        <w:rPr>
          <w:rFonts w:ascii="Times New Roman" w:hAnsi="Times New Roman"/>
          <w:sz w:val="24"/>
          <w:szCs w:val="24"/>
          <w:lang w:val="en-GB" w:eastAsia="it-IT"/>
        </w:rPr>
        <w:t xml:space="preserve"> of the sample (</w:t>
      </w:r>
      <w:r w:rsidR="00495AB6" w:rsidRPr="007F4548">
        <w:rPr>
          <w:rFonts w:ascii="Times New Roman" w:hAnsi="Times New Roman"/>
          <w:sz w:val="24"/>
          <w:szCs w:val="24"/>
          <w:lang w:val="en-GB" w:eastAsia="it-IT"/>
        </w:rPr>
        <w:t>19</w:t>
      </w:r>
      <w:r w:rsidR="00270A94" w:rsidRPr="007F4548">
        <w:rPr>
          <w:rFonts w:ascii="Times New Roman" w:hAnsi="Times New Roman"/>
          <w:sz w:val="24"/>
          <w:szCs w:val="24"/>
          <w:lang w:val="en-GB" w:eastAsia="it-IT"/>
        </w:rPr>
        <w:t>.</w:t>
      </w:r>
      <w:r w:rsidR="00495AB6" w:rsidRPr="007F4548">
        <w:rPr>
          <w:rFonts w:ascii="Times New Roman" w:hAnsi="Times New Roman"/>
          <w:sz w:val="24"/>
          <w:szCs w:val="24"/>
          <w:lang w:val="en-GB" w:eastAsia="it-IT"/>
        </w:rPr>
        <w:t>8</w:t>
      </w:r>
      <w:r w:rsidR="00270A94" w:rsidRPr="007F4548">
        <w:rPr>
          <w:rFonts w:ascii="Times New Roman" w:hAnsi="Times New Roman"/>
          <w:sz w:val="24"/>
          <w:szCs w:val="24"/>
          <w:lang w:val="en-GB" w:eastAsia="it-IT"/>
        </w:rPr>
        <w:t>%) rated 5 or below their general satisfaction with the case institution.</w:t>
      </w:r>
      <w:r w:rsidR="00495AB6" w:rsidRPr="007F4548">
        <w:rPr>
          <w:rFonts w:ascii="Times New Roman" w:hAnsi="Times New Roman"/>
          <w:sz w:val="24"/>
          <w:szCs w:val="24"/>
          <w:lang w:val="en-GB" w:eastAsia="it-IT"/>
        </w:rPr>
        <w:t xml:space="preserve"> Whilst interviewees appreciated the quality of the learning offering delivered by the case institution (µ = 6.9; σ = 1.7), the quality of learning spaces (µ = 7.1; σ = 2), the availability of learning technologies (µ = 6.8; σ = 2), and the value for money ratio (µ = 7; σ = 1.9), they were relatively less sa</w:t>
      </w:r>
      <w:r w:rsidR="000E2D02" w:rsidRPr="007F4548">
        <w:rPr>
          <w:rFonts w:ascii="Times New Roman" w:hAnsi="Times New Roman"/>
          <w:sz w:val="24"/>
          <w:szCs w:val="24"/>
          <w:lang w:val="en-GB" w:eastAsia="it-IT"/>
        </w:rPr>
        <w:t>tisfied with the</w:t>
      </w:r>
      <w:r w:rsidR="00693411" w:rsidRPr="007F4548">
        <w:rPr>
          <w:rFonts w:ascii="Times New Roman" w:hAnsi="Times New Roman"/>
          <w:sz w:val="24"/>
          <w:szCs w:val="24"/>
          <w:lang w:val="en-GB" w:eastAsia="it-IT"/>
        </w:rPr>
        <w:t xml:space="preserve"> degree of internationalization of the case institution (µ = 6.4; σ = 2.1), the financial support to outstanding students (µ = 6.3; σ = 2.2), and the students’ preparation for the labour market (µ = 5.5; σ = 2.1).</w:t>
      </w:r>
    </w:p>
    <w:p w:rsidR="00693411" w:rsidRPr="007F4548" w:rsidRDefault="00542622" w:rsidP="00BF0956">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The factors which motivated the respondents’ unsatisfaction with these attributes of the case university’s learning offering are effectively reported in the hints for improvement reported by the students. Actually, more than 1 in 2 people (</w:t>
      </w:r>
      <w:r w:rsidR="0027444D" w:rsidRPr="007F4548">
        <w:rPr>
          <w:rFonts w:ascii="Times New Roman" w:hAnsi="Times New Roman"/>
          <w:sz w:val="24"/>
          <w:szCs w:val="24"/>
          <w:lang w:val="en-GB" w:eastAsia="it-IT"/>
        </w:rPr>
        <w:t>54.4%</w:t>
      </w:r>
      <w:r w:rsidRPr="007F4548">
        <w:rPr>
          <w:rFonts w:ascii="Times New Roman" w:hAnsi="Times New Roman"/>
          <w:sz w:val="24"/>
          <w:szCs w:val="24"/>
          <w:lang w:val="en-GB" w:eastAsia="it-IT"/>
        </w:rPr>
        <w:t xml:space="preserve">) maintained that the enrichment of traditional educational curricula with more frequent and practical traineeships </w:t>
      </w:r>
      <w:r w:rsidRPr="007F4548">
        <w:rPr>
          <w:rFonts w:ascii="Times New Roman" w:hAnsi="Times New Roman"/>
          <w:sz w:val="24"/>
          <w:szCs w:val="24"/>
          <w:lang w:val="en-GB" w:eastAsia="it-IT"/>
        </w:rPr>
        <w:lastRenderedPageBreak/>
        <w:t>hosted by public and private companies operating in the surrounding territory is essential to increase the quality of educational services provided by the case institution. Moreover,</w:t>
      </w:r>
      <w:r w:rsidR="005F045D" w:rsidRPr="007F4548">
        <w:rPr>
          <w:rFonts w:ascii="Times New Roman" w:hAnsi="Times New Roman"/>
          <w:sz w:val="24"/>
          <w:szCs w:val="24"/>
          <w:lang w:val="en-GB" w:eastAsia="it-IT"/>
        </w:rPr>
        <w:t xml:space="preserve"> about a third of the sample (32.9%) stressed the opportunity to reduce the time devoted to theoretical arguments and conceptual issues, to pay more attention to experiential learning and learning by doing. Lastly, yet importantly, many interviewees emphasized the need to partially redesign the learning offering of the case institution, delivering degree courses which are tailored to the specific labour demands of firms (34.7%) and actively engaging public and private companies both in the design and provision of empirical learning activities (15.7%).</w:t>
      </w:r>
    </w:p>
    <w:p w:rsidR="00005E2A" w:rsidRPr="007F4548" w:rsidRDefault="00005E2A" w:rsidP="00BF0956">
      <w:pPr>
        <w:spacing w:after="0" w:line="240" w:lineRule="auto"/>
        <w:ind w:firstLine="284"/>
        <w:jc w:val="both"/>
        <w:rPr>
          <w:rFonts w:ascii="Times New Roman" w:hAnsi="Times New Roman"/>
          <w:sz w:val="24"/>
          <w:szCs w:val="24"/>
          <w:lang w:val="en-GB" w:eastAsia="it-IT"/>
        </w:rPr>
      </w:pPr>
    </w:p>
    <w:p w:rsidR="00005E2A" w:rsidRPr="007F4548" w:rsidRDefault="00005E2A" w:rsidP="00005E2A">
      <w:pPr>
        <w:spacing w:after="0" w:line="240" w:lineRule="auto"/>
        <w:jc w:val="both"/>
        <w:rPr>
          <w:rFonts w:ascii="Times New Roman Grassetto" w:hAnsi="Times New Roman Grassetto"/>
          <w:b/>
          <w:sz w:val="20"/>
          <w:szCs w:val="24"/>
          <w:lang w:val="en-GB"/>
        </w:rPr>
      </w:pPr>
      <w:r w:rsidRPr="007F4548">
        <w:rPr>
          <w:rFonts w:ascii="Times New Roman Grassetto" w:hAnsi="Times New Roman Grassetto"/>
          <w:b/>
          <w:sz w:val="20"/>
          <w:szCs w:val="24"/>
          <w:lang w:val="en-GB"/>
        </w:rPr>
        <w:t>Figure 2. The students</w:t>
      </w:r>
      <w:r w:rsidR="00701DA0" w:rsidRPr="007F4548">
        <w:rPr>
          <w:rFonts w:ascii="Times New Roman Grassetto" w:hAnsi="Times New Roman Grassetto"/>
          <w:b/>
          <w:sz w:val="20"/>
          <w:szCs w:val="24"/>
          <w:lang w:val="en-GB"/>
        </w:rPr>
        <w:t>’</w:t>
      </w:r>
      <w:r w:rsidRPr="007F4548">
        <w:rPr>
          <w:rFonts w:ascii="Times New Roman Grassetto" w:hAnsi="Times New Roman Grassetto"/>
          <w:b/>
          <w:sz w:val="20"/>
          <w:szCs w:val="24"/>
          <w:lang w:val="en-GB"/>
        </w:rPr>
        <w:t xml:space="preserve"> self-</w:t>
      </w:r>
      <w:r w:rsidR="00701DA0" w:rsidRPr="007F4548">
        <w:rPr>
          <w:rFonts w:ascii="Times New Roman Grassetto" w:hAnsi="Times New Roman Grassetto"/>
          <w:b/>
          <w:sz w:val="20"/>
          <w:szCs w:val="24"/>
          <w:lang w:val="en-GB"/>
        </w:rPr>
        <w:t>assessed</w:t>
      </w:r>
      <w:r w:rsidRPr="007F4548">
        <w:rPr>
          <w:rFonts w:ascii="Times New Roman Grassetto" w:hAnsi="Times New Roman Grassetto"/>
          <w:b/>
          <w:sz w:val="20"/>
          <w:szCs w:val="24"/>
          <w:lang w:val="en-GB"/>
        </w:rPr>
        <w:t xml:space="preserve"> </w:t>
      </w:r>
      <w:r w:rsidR="00701DA0" w:rsidRPr="007F4548">
        <w:rPr>
          <w:rFonts w:ascii="Times New Roman Grassetto" w:hAnsi="Times New Roman Grassetto"/>
          <w:b/>
          <w:sz w:val="20"/>
          <w:szCs w:val="24"/>
          <w:lang w:val="en-GB"/>
        </w:rPr>
        <w:t>satisfaction</w:t>
      </w:r>
      <w:r w:rsidRPr="007F4548">
        <w:rPr>
          <w:rFonts w:ascii="Times New Roman Grassetto" w:hAnsi="Times New Roman Grassetto"/>
          <w:b/>
          <w:sz w:val="20"/>
          <w:szCs w:val="24"/>
          <w:lang w:val="en-GB"/>
        </w:rPr>
        <w:t xml:space="preserve"> with educational service</w:t>
      </w:r>
      <w:r w:rsidR="00701DA0" w:rsidRPr="007F4548">
        <w:rPr>
          <w:rFonts w:ascii="Times New Roman Grassetto" w:hAnsi="Times New Roman Grassetto"/>
          <w:b/>
          <w:sz w:val="20"/>
          <w:szCs w:val="24"/>
          <w:lang w:val="en-GB"/>
        </w:rPr>
        <w:t>s</w:t>
      </w:r>
      <w:r w:rsidRPr="007F4548">
        <w:rPr>
          <w:rFonts w:ascii="Times New Roman Grassetto" w:hAnsi="Times New Roman Grassetto"/>
          <w:b/>
          <w:sz w:val="20"/>
          <w:szCs w:val="24"/>
          <w:lang w:val="en-GB"/>
        </w:rPr>
        <w:t xml:space="preserve"> provided by the case institution</w:t>
      </w:r>
    </w:p>
    <w:p w:rsidR="00005E2A" w:rsidRPr="007F4548" w:rsidRDefault="00005E2A" w:rsidP="00BF0956">
      <w:pPr>
        <w:spacing w:after="0" w:line="240" w:lineRule="auto"/>
        <w:ind w:firstLine="284"/>
        <w:jc w:val="both"/>
        <w:rPr>
          <w:rFonts w:ascii="Times New Roman" w:hAnsi="Times New Roman"/>
          <w:sz w:val="24"/>
          <w:szCs w:val="24"/>
          <w:lang w:val="en-GB" w:eastAsia="it-IT"/>
        </w:rPr>
      </w:pPr>
    </w:p>
    <w:p w:rsidR="005F045D" w:rsidRPr="007F4548" w:rsidRDefault="00A278F9" w:rsidP="00701DA0">
      <w:pPr>
        <w:spacing w:after="0" w:line="240" w:lineRule="auto"/>
        <w:jc w:val="center"/>
        <w:rPr>
          <w:rFonts w:ascii="Times New Roman" w:hAnsi="Times New Roman"/>
          <w:sz w:val="24"/>
          <w:szCs w:val="24"/>
          <w:lang w:val="en-GB" w:eastAsia="it-IT"/>
        </w:rPr>
      </w:pPr>
      <w:r w:rsidRPr="007F4548">
        <w:rPr>
          <w:noProof/>
          <w:lang w:val="fr-FR" w:eastAsia="fr-FR"/>
        </w:rPr>
        <w:drawing>
          <wp:inline distT="0" distB="0" distL="0" distR="0">
            <wp:extent cx="5154706" cy="3769360"/>
            <wp:effectExtent l="0" t="0" r="8255" b="254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78F9" w:rsidRPr="007F4548" w:rsidRDefault="00A278F9" w:rsidP="00A278F9">
      <w:pPr>
        <w:jc w:val="right"/>
        <w:rPr>
          <w:rFonts w:ascii="Times New Roman" w:hAnsi="Times New Roman"/>
          <w:i/>
          <w:sz w:val="20"/>
          <w:lang w:val="en-GB"/>
        </w:rPr>
      </w:pPr>
      <w:r w:rsidRPr="007F4548">
        <w:rPr>
          <w:rFonts w:ascii="Times New Roman" w:hAnsi="Times New Roman"/>
          <w:i/>
          <w:sz w:val="20"/>
          <w:lang w:val="en-GB"/>
        </w:rPr>
        <w:t>Source: Authors’ elaboration</w:t>
      </w:r>
    </w:p>
    <w:p w:rsidR="00BF0956" w:rsidRPr="007F4548" w:rsidRDefault="00BF0956" w:rsidP="00191F9B">
      <w:pPr>
        <w:spacing w:after="0" w:line="240" w:lineRule="auto"/>
        <w:jc w:val="both"/>
        <w:rPr>
          <w:rFonts w:ascii="Times New Roman" w:hAnsi="Times New Roman"/>
          <w:sz w:val="24"/>
          <w:szCs w:val="24"/>
          <w:lang w:val="en-GB"/>
        </w:rPr>
      </w:pPr>
    </w:p>
    <w:p w:rsidR="00CE75A6" w:rsidRPr="007F4548" w:rsidRDefault="00CE75A6" w:rsidP="00191F9B">
      <w:pPr>
        <w:spacing w:after="0" w:line="240" w:lineRule="auto"/>
        <w:jc w:val="both"/>
        <w:rPr>
          <w:rFonts w:ascii="Times New Roman" w:hAnsi="Times New Roman"/>
          <w:sz w:val="24"/>
          <w:szCs w:val="24"/>
          <w:lang w:val="en-GB"/>
        </w:rPr>
      </w:pPr>
    </w:p>
    <w:p w:rsidR="00191F9B" w:rsidRPr="007F4548" w:rsidRDefault="0012724A" w:rsidP="0012724A">
      <w:pPr>
        <w:pStyle w:val="Titre2"/>
        <w:rPr>
          <w:rFonts w:ascii="Times New Roman" w:hAnsi="Times New Roman" w:cs="Times New Roman"/>
          <w:i/>
          <w:color w:val="000000" w:themeColor="text1"/>
          <w:sz w:val="24"/>
          <w:lang w:val="en-GB" w:eastAsia="it-IT"/>
        </w:rPr>
      </w:pPr>
      <w:r w:rsidRPr="007F4548">
        <w:rPr>
          <w:rFonts w:ascii="Times New Roman" w:hAnsi="Times New Roman" w:cs="Times New Roman"/>
          <w:i/>
          <w:color w:val="000000" w:themeColor="text1"/>
          <w:sz w:val="24"/>
          <w:lang w:val="en-GB" w:eastAsia="it-IT"/>
        </w:rPr>
        <w:t xml:space="preserve">3.2 The </w:t>
      </w:r>
      <w:r w:rsidR="00980A89" w:rsidRPr="007F4548">
        <w:rPr>
          <w:rFonts w:ascii="Times New Roman" w:hAnsi="Times New Roman" w:cs="Times New Roman"/>
          <w:i/>
          <w:color w:val="000000" w:themeColor="text1"/>
          <w:sz w:val="24"/>
          <w:lang w:val="en-GB" w:eastAsia="it-IT"/>
        </w:rPr>
        <w:t>academics value expectations</w:t>
      </w:r>
    </w:p>
    <w:p w:rsidR="0012724A" w:rsidRPr="007F4548" w:rsidRDefault="00C53C36"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 xml:space="preserve">Academics disclosed distinguishing value expectations as compared with students. In fact, while students emphasized the extrinsic and intrinsic features of value, </w:t>
      </w:r>
      <w:r w:rsidR="00E26685" w:rsidRPr="007F4548">
        <w:rPr>
          <w:rFonts w:ascii="Times New Roman" w:hAnsi="Times New Roman"/>
          <w:sz w:val="24"/>
          <w:szCs w:val="24"/>
          <w:lang w:val="en-GB" w:eastAsia="it-IT"/>
        </w:rPr>
        <w:t xml:space="preserve">academics were found to put greater emphasis on both </w:t>
      </w:r>
      <w:r w:rsidR="00A92D61" w:rsidRPr="007F4548">
        <w:rPr>
          <w:rFonts w:ascii="Times New Roman" w:hAnsi="Times New Roman"/>
          <w:sz w:val="24"/>
          <w:szCs w:val="24"/>
          <w:lang w:val="en-GB" w:eastAsia="it-IT"/>
        </w:rPr>
        <w:t>social</w:t>
      </w:r>
      <w:r w:rsidR="00E26685" w:rsidRPr="007F4548">
        <w:rPr>
          <w:rFonts w:ascii="Times New Roman" w:hAnsi="Times New Roman"/>
          <w:sz w:val="24"/>
          <w:szCs w:val="24"/>
          <w:lang w:val="en-GB" w:eastAsia="it-IT"/>
        </w:rPr>
        <w:t xml:space="preserve"> and emotional value. On the one hand, more than 7 in 10 respondents (75.9%) maintained that they were especially interested in the ability of the case university to allow them to establish vivid and continuous interactions with other academics and students; in turn, such relationships were considered to be crucial to enhance their social connections and, therefore, to enrich their intellectual capital</w:t>
      </w:r>
      <w:r w:rsidR="00980A89" w:rsidRPr="007F4548">
        <w:rPr>
          <w:rFonts w:ascii="Times New Roman" w:hAnsi="Times New Roman"/>
          <w:sz w:val="24"/>
          <w:szCs w:val="24"/>
          <w:lang w:val="en-GB" w:eastAsia="it-IT"/>
        </w:rPr>
        <w:t>.</w:t>
      </w:r>
      <w:r w:rsidR="00E26685" w:rsidRPr="007F4548">
        <w:rPr>
          <w:rFonts w:ascii="Times New Roman" w:hAnsi="Times New Roman"/>
          <w:sz w:val="24"/>
          <w:szCs w:val="24"/>
          <w:lang w:val="en-GB" w:eastAsia="it-IT"/>
        </w:rPr>
        <w:t xml:space="preserve"> On the other hand, slightly less than half of respondents (49.1%) argued that they conceived the case university as a fruitful space to express their own </w:t>
      </w:r>
      <w:r w:rsidR="00A92D61" w:rsidRPr="007F4548">
        <w:rPr>
          <w:rFonts w:ascii="Times New Roman" w:hAnsi="Times New Roman"/>
          <w:sz w:val="24"/>
          <w:szCs w:val="24"/>
          <w:lang w:val="en-GB" w:eastAsia="it-IT"/>
        </w:rPr>
        <w:t xml:space="preserve">potential and to comfortably fulfil research activities aimed at pushing forward scientific knowledge. In addition, epistemic factors and intrinsic factors were identified as important triggers of academics’ value expectations towards the case university. In fact, about a fourth of the sample (19.8%) stated that, ideally, the </w:t>
      </w:r>
      <w:r w:rsidR="00A92D61" w:rsidRPr="007F4548">
        <w:rPr>
          <w:rFonts w:ascii="Times New Roman" w:hAnsi="Times New Roman"/>
          <w:sz w:val="24"/>
          <w:szCs w:val="24"/>
          <w:lang w:val="en-GB" w:eastAsia="it-IT"/>
        </w:rPr>
        <w:lastRenderedPageBreak/>
        <w:t xml:space="preserve">university should be understood as a place fostering knowledge development and opening new horizons through debate and critical reasoning. Besides, slightly less than 1 in 10 academics (9.1%) revealed that they understood the university </w:t>
      </w:r>
      <w:r w:rsidR="00090945" w:rsidRPr="007F4548">
        <w:rPr>
          <w:rFonts w:ascii="Times New Roman" w:hAnsi="Times New Roman"/>
          <w:sz w:val="24"/>
          <w:szCs w:val="24"/>
          <w:lang w:val="en-GB" w:eastAsia="it-IT"/>
        </w:rPr>
        <w:t xml:space="preserve">as a context aimed at </w:t>
      </w:r>
      <w:r w:rsidR="007C1160" w:rsidRPr="007F4548">
        <w:rPr>
          <w:rFonts w:ascii="Times New Roman" w:hAnsi="Times New Roman"/>
          <w:sz w:val="24"/>
          <w:szCs w:val="24"/>
          <w:lang w:val="en-GB" w:eastAsia="it-IT"/>
        </w:rPr>
        <w:t>promoting self-development. Figure 3 summarizes the value expectations expressed by academics in a bar diagram.</w:t>
      </w:r>
    </w:p>
    <w:p w:rsidR="007C1160" w:rsidRPr="007F4548" w:rsidRDefault="007C1160" w:rsidP="007C1160">
      <w:pPr>
        <w:spacing w:after="0" w:line="240" w:lineRule="auto"/>
        <w:jc w:val="both"/>
        <w:rPr>
          <w:rFonts w:ascii="Times New Roman Grassetto" w:hAnsi="Times New Roman Grassetto"/>
          <w:b/>
          <w:sz w:val="20"/>
          <w:szCs w:val="24"/>
          <w:lang w:val="en-GB"/>
        </w:rPr>
      </w:pPr>
      <w:r w:rsidRPr="007F4548">
        <w:rPr>
          <w:rFonts w:ascii="Times New Roman Grassetto" w:hAnsi="Times New Roman Grassetto"/>
          <w:b/>
          <w:sz w:val="20"/>
          <w:szCs w:val="24"/>
          <w:lang w:val="en-GB"/>
        </w:rPr>
        <w:t>Figure 3. The academics’ value expectations towards the case university</w:t>
      </w:r>
    </w:p>
    <w:p w:rsidR="007C1160" w:rsidRPr="007F4548" w:rsidRDefault="007C1160" w:rsidP="00191F9B">
      <w:pPr>
        <w:spacing w:after="0" w:line="240" w:lineRule="auto"/>
        <w:ind w:firstLine="284"/>
        <w:jc w:val="both"/>
        <w:rPr>
          <w:rFonts w:ascii="Times New Roman" w:hAnsi="Times New Roman"/>
          <w:sz w:val="24"/>
          <w:szCs w:val="24"/>
          <w:lang w:val="en-GB" w:eastAsia="it-IT"/>
        </w:rPr>
      </w:pPr>
    </w:p>
    <w:p w:rsidR="00243328" w:rsidRPr="007F4548" w:rsidRDefault="00243328" w:rsidP="00701DA0">
      <w:pPr>
        <w:spacing w:after="0" w:line="240" w:lineRule="auto"/>
        <w:jc w:val="center"/>
        <w:rPr>
          <w:rFonts w:ascii="Times New Roman" w:hAnsi="Times New Roman"/>
          <w:sz w:val="24"/>
          <w:szCs w:val="24"/>
          <w:lang w:val="en-GB" w:eastAsia="it-IT"/>
        </w:rPr>
      </w:pPr>
      <w:r w:rsidRPr="007F4548">
        <w:rPr>
          <w:noProof/>
          <w:lang w:val="fr-FR" w:eastAsia="fr-FR"/>
        </w:rPr>
        <w:drawing>
          <wp:inline distT="0" distB="0" distL="0" distR="0">
            <wp:extent cx="5024456" cy="2846294"/>
            <wp:effectExtent l="0" t="0" r="5080" b="1143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3328" w:rsidRPr="007F4548" w:rsidRDefault="00243328" w:rsidP="00243328">
      <w:pPr>
        <w:jc w:val="right"/>
        <w:rPr>
          <w:rFonts w:ascii="Times New Roman" w:hAnsi="Times New Roman"/>
          <w:i/>
          <w:sz w:val="20"/>
          <w:lang w:val="en-GB"/>
        </w:rPr>
      </w:pPr>
      <w:r w:rsidRPr="007F4548">
        <w:rPr>
          <w:rFonts w:ascii="Times New Roman" w:hAnsi="Times New Roman"/>
          <w:i/>
          <w:sz w:val="20"/>
          <w:lang w:val="en-GB"/>
        </w:rPr>
        <w:t>Source: Authors’ elaboration</w:t>
      </w:r>
    </w:p>
    <w:p w:rsidR="00243328" w:rsidRPr="007F4548" w:rsidRDefault="00243328" w:rsidP="00191F9B">
      <w:pPr>
        <w:spacing w:after="0" w:line="240" w:lineRule="auto"/>
        <w:ind w:firstLine="284"/>
        <w:jc w:val="both"/>
        <w:rPr>
          <w:rFonts w:ascii="Times New Roman" w:hAnsi="Times New Roman"/>
          <w:sz w:val="24"/>
          <w:szCs w:val="24"/>
          <w:lang w:val="en-GB" w:eastAsia="it-IT"/>
        </w:rPr>
      </w:pPr>
    </w:p>
    <w:p w:rsidR="00980A89" w:rsidRPr="007F4548" w:rsidRDefault="000B0925" w:rsidP="00191F9B">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Once again, only a partial match between the academics’ value expectations and their perceived quality of educational services provided by the case university was retrieved</w:t>
      </w:r>
      <w:r w:rsidR="00980A89" w:rsidRPr="007F4548">
        <w:rPr>
          <w:rFonts w:ascii="Times New Roman" w:hAnsi="Times New Roman"/>
          <w:sz w:val="24"/>
          <w:szCs w:val="24"/>
          <w:lang w:val="en-GB" w:eastAsia="it-IT"/>
        </w:rPr>
        <w:t>.</w:t>
      </w:r>
      <w:r w:rsidRPr="007F4548">
        <w:rPr>
          <w:rFonts w:ascii="Times New Roman" w:hAnsi="Times New Roman"/>
          <w:sz w:val="24"/>
          <w:szCs w:val="24"/>
          <w:lang w:val="en-GB" w:eastAsia="it-IT"/>
        </w:rPr>
        <w:t xml:space="preserve"> Figure 4 graphically shows the respondents’ self-assessed satisfaction with different attributes of the case institution service offering. The general quality was rated above 8 (µ = 8.1; σ = 1.6): in fact, only 5% of the sample reported a score of 5 or below to gauge their overall satisfaction with the university’s service offering.</w:t>
      </w:r>
    </w:p>
    <w:p w:rsidR="00191F9B" w:rsidRPr="007F4548" w:rsidRDefault="00191F9B" w:rsidP="00191F9B">
      <w:pPr>
        <w:spacing w:after="0" w:line="240" w:lineRule="auto"/>
        <w:jc w:val="both"/>
        <w:rPr>
          <w:rFonts w:ascii="Times New Roman" w:hAnsi="Times New Roman"/>
          <w:sz w:val="24"/>
          <w:szCs w:val="24"/>
          <w:lang w:val="en-GB"/>
        </w:rPr>
      </w:pPr>
    </w:p>
    <w:p w:rsidR="00701DA0" w:rsidRPr="007F4548" w:rsidRDefault="00701DA0" w:rsidP="00701DA0">
      <w:pPr>
        <w:spacing w:after="0" w:line="240" w:lineRule="auto"/>
        <w:jc w:val="both"/>
        <w:rPr>
          <w:rFonts w:ascii="Times New Roman Grassetto" w:hAnsi="Times New Roman Grassetto"/>
          <w:b/>
          <w:sz w:val="20"/>
          <w:szCs w:val="24"/>
          <w:lang w:val="en-GB"/>
        </w:rPr>
      </w:pPr>
      <w:r w:rsidRPr="007F4548">
        <w:rPr>
          <w:rFonts w:ascii="Times New Roman Grassetto" w:hAnsi="Times New Roman Grassetto"/>
          <w:b/>
          <w:sz w:val="20"/>
          <w:szCs w:val="24"/>
          <w:lang w:val="en-GB"/>
        </w:rPr>
        <w:t>Figure 4. The academics’ self-assessed satisfaction with educational services provided by the case institution</w:t>
      </w:r>
    </w:p>
    <w:p w:rsidR="00701DA0" w:rsidRPr="007F4548" w:rsidRDefault="00701DA0" w:rsidP="00191F9B">
      <w:pPr>
        <w:spacing w:after="0" w:line="240" w:lineRule="auto"/>
        <w:jc w:val="both"/>
        <w:rPr>
          <w:rFonts w:ascii="Times New Roman" w:hAnsi="Times New Roman"/>
          <w:sz w:val="24"/>
          <w:szCs w:val="24"/>
          <w:lang w:val="en-GB"/>
        </w:rPr>
      </w:pPr>
    </w:p>
    <w:p w:rsidR="00701DA0" w:rsidRPr="007F4548" w:rsidRDefault="00701DA0" w:rsidP="00701DA0">
      <w:pPr>
        <w:spacing w:after="0" w:line="240" w:lineRule="auto"/>
        <w:jc w:val="center"/>
        <w:rPr>
          <w:rFonts w:ascii="Times New Roman" w:hAnsi="Times New Roman"/>
          <w:sz w:val="24"/>
          <w:szCs w:val="24"/>
          <w:lang w:val="en-GB"/>
        </w:rPr>
      </w:pPr>
      <w:r w:rsidRPr="007F4548">
        <w:rPr>
          <w:noProof/>
          <w:lang w:val="fr-FR" w:eastAsia="fr-FR"/>
        </w:rPr>
        <w:lastRenderedPageBreak/>
        <w:drawing>
          <wp:inline distT="0" distB="0" distL="0" distR="0">
            <wp:extent cx="5324550" cy="3235960"/>
            <wp:effectExtent l="0" t="0" r="9525" b="254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1DA0" w:rsidRPr="007F4548" w:rsidRDefault="00701DA0" w:rsidP="00701DA0">
      <w:pPr>
        <w:jc w:val="right"/>
        <w:rPr>
          <w:rFonts w:ascii="Times New Roman" w:hAnsi="Times New Roman"/>
          <w:i/>
          <w:sz w:val="20"/>
          <w:lang w:val="en-GB"/>
        </w:rPr>
      </w:pPr>
      <w:r w:rsidRPr="007F4548">
        <w:rPr>
          <w:rFonts w:ascii="Times New Roman" w:hAnsi="Times New Roman"/>
          <w:i/>
          <w:sz w:val="20"/>
          <w:lang w:val="en-GB"/>
        </w:rPr>
        <w:t>Source: Authors’ elaboration</w:t>
      </w:r>
    </w:p>
    <w:p w:rsidR="00701DA0" w:rsidRDefault="001E1AE4" w:rsidP="00701DA0">
      <w:pPr>
        <w:spacing w:after="0" w:line="240" w:lineRule="auto"/>
        <w:ind w:firstLine="284"/>
        <w:jc w:val="both"/>
        <w:rPr>
          <w:rFonts w:ascii="Times New Roman" w:hAnsi="Times New Roman"/>
          <w:sz w:val="24"/>
          <w:szCs w:val="24"/>
          <w:lang w:val="en-GB" w:eastAsia="it-IT"/>
        </w:rPr>
      </w:pPr>
      <w:r w:rsidRPr="007F4548">
        <w:rPr>
          <w:rFonts w:ascii="Times New Roman" w:hAnsi="Times New Roman"/>
          <w:sz w:val="24"/>
          <w:szCs w:val="24"/>
          <w:lang w:val="en-GB" w:eastAsia="it-IT"/>
        </w:rPr>
        <w:t>It is interesting to note that</w:t>
      </w:r>
      <w:r w:rsidR="007F4548" w:rsidRPr="007F4548">
        <w:rPr>
          <w:rFonts w:ascii="Times New Roman" w:hAnsi="Times New Roman"/>
          <w:sz w:val="24"/>
          <w:szCs w:val="24"/>
          <w:lang w:val="en-GB" w:eastAsia="it-IT"/>
        </w:rPr>
        <w:t xml:space="preserve"> the</w:t>
      </w:r>
      <w:r w:rsidRPr="007F4548">
        <w:rPr>
          <w:rFonts w:ascii="Times New Roman" w:hAnsi="Times New Roman"/>
          <w:sz w:val="24"/>
          <w:szCs w:val="24"/>
          <w:lang w:val="en-GB" w:eastAsia="it-IT"/>
        </w:rPr>
        <w:t xml:space="preserve"> academics </w:t>
      </w:r>
      <w:r w:rsidR="007F4548" w:rsidRPr="007F4548">
        <w:rPr>
          <w:rFonts w:ascii="Times New Roman" w:hAnsi="Times New Roman"/>
          <w:sz w:val="24"/>
          <w:szCs w:val="24"/>
          <w:lang w:val="en-GB" w:eastAsia="it-IT"/>
        </w:rPr>
        <w:t xml:space="preserve">involved in this study </w:t>
      </w:r>
      <w:r w:rsidRPr="007F4548">
        <w:rPr>
          <w:rFonts w:ascii="Times New Roman" w:hAnsi="Times New Roman"/>
          <w:sz w:val="24"/>
          <w:szCs w:val="24"/>
          <w:lang w:val="en-GB" w:eastAsia="it-IT"/>
        </w:rPr>
        <w:t>especially appreciated the quality of learning spaces (µ = 7.7; σ = 1.4) and the value for money ratio attached to the university’ service offering (µ = 7.1; σ = 1.7)</w:t>
      </w:r>
      <w:r w:rsidR="00701DA0" w:rsidRPr="007F4548">
        <w:rPr>
          <w:rFonts w:ascii="Times New Roman" w:hAnsi="Times New Roman"/>
          <w:sz w:val="24"/>
          <w:szCs w:val="24"/>
          <w:lang w:val="en-GB" w:eastAsia="it-IT"/>
        </w:rPr>
        <w:t>.</w:t>
      </w:r>
      <w:r w:rsidR="007F4548" w:rsidRPr="007F4548">
        <w:rPr>
          <w:rFonts w:ascii="Times New Roman" w:hAnsi="Times New Roman"/>
          <w:sz w:val="24"/>
          <w:szCs w:val="24"/>
          <w:lang w:val="en-GB" w:eastAsia="it-IT"/>
        </w:rPr>
        <w:t xml:space="preserve"> Moreover, </w:t>
      </w:r>
      <w:r w:rsidR="00827EF7">
        <w:rPr>
          <w:rFonts w:ascii="Times New Roman" w:hAnsi="Times New Roman"/>
          <w:sz w:val="24"/>
          <w:szCs w:val="24"/>
          <w:lang w:val="en-GB" w:eastAsia="it-IT"/>
        </w:rPr>
        <w:t xml:space="preserve">they expressed positive evaluations about the quality of learning offering delivered by the educational institution (µ = 6.7; σ = 1.6) and the degree of internationalization of the university (µ = 6.5; σ = 1.7). Conversely, we found that academics were not fully satisfied with two relevant triggers of perceived value: first, they did not acknowledge an adequate support of the case institution for outstanding scholar (µ = 5.9; σ = 2.1); second, they complained inadequate investments and interventions targeted to the enhancement of the web platforms and information systems used by academics to perform their everyday research activities (µ = 5.6; σ = 2.2). </w:t>
      </w:r>
    </w:p>
    <w:p w:rsidR="00DD34B6" w:rsidRPr="007F4548" w:rsidRDefault="00894F92" w:rsidP="00701DA0">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The suggestions of academics to improve the quality of educational services provided by the case institution partly echoed the hints proposed by students. In fact, about half of the sample (47.4%) pointed out the need to reframe the learning offering of the university, paying more attention to laboratories and experiential learning sessions; similarly, about 1 in 2 respondents (44.4%) claimed that the design of tailored degree courses focused on the specific labour demand of public and private companies represent key factors contributing to the improvement of educational services’ quality. </w:t>
      </w:r>
      <w:r w:rsidR="00967F28">
        <w:rPr>
          <w:rFonts w:ascii="Times New Roman" w:hAnsi="Times New Roman"/>
          <w:sz w:val="24"/>
          <w:szCs w:val="24"/>
          <w:lang w:val="en-GB" w:eastAsia="it-IT"/>
        </w:rPr>
        <w:t xml:space="preserve">In line with these points, about a third of respondents (32.7%) stressed that </w:t>
      </w:r>
      <w:r w:rsidR="00F228F1">
        <w:rPr>
          <w:rFonts w:ascii="Times New Roman" w:hAnsi="Times New Roman"/>
          <w:sz w:val="24"/>
          <w:szCs w:val="24"/>
          <w:lang w:val="en-GB" w:eastAsia="it-IT"/>
        </w:rPr>
        <w:t xml:space="preserve">the increase of traineeships is a critical ingredient of the recipe for excellence in providing timely educational services to students. Last, but not least, </w:t>
      </w:r>
      <w:r w:rsidR="000B3B1A">
        <w:rPr>
          <w:rFonts w:ascii="Times New Roman" w:hAnsi="Times New Roman"/>
          <w:sz w:val="24"/>
          <w:szCs w:val="24"/>
          <w:lang w:val="en-GB" w:eastAsia="it-IT"/>
        </w:rPr>
        <w:t>a further effort to enhance the internationalization of the case institution (16.4%) and targeted investments to support the development of human resources employed by the university (10.3%) were assumed to pave the way for more effective learning processes.</w:t>
      </w:r>
    </w:p>
    <w:p w:rsidR="00701DA0" w:rsidRDefault="00701DA0" w:rsidP="00191F9B">
      <w:pPr>
        <w:spacing w:after="0" w:line="240" w:lineRule="auto"/>
        <w:jc w:val="both"/>
        <w:rPr>
          <w:rFonts w:ascii="Times New Roman" w:hAnsi="Times New Roman"/>
          <w:sz w:val="24"/>
          <w:szCs w:val="24"/>
          <w:lang w:val="en-GB"/>
        </w:rPr>
      </w:pPr>
    </w:p>
    <w:p w:rsidR="0012724A" w:rsidRDefault="0012724A" w:rsidP="00191F9B">
      <w:pPr>
        <w:spacing w:after="0" w:line="240" w:lineRule="auto"/>
        <w:jc w:val="both"/>
        <w:rPr>
          <w:rFonts w:ascii="Times New Roman" w:hAnsi="Times New Roman"/>
          <w:sz w:val="24"/>
          <w:szCs w:val="24"/>
          <w:lang w:val="en-GB"/>
        </w:rPr>
      </w:pPr>
    </w:p>
    <w:p w:rsidR="0012724A" w:rsidRPr="0012724A" w:rsidRDefault="0012724A" w:rsidP="0012724A">
      <w:pPr>
        <w:pStyle w:val="Titre2"/>
        <w:rPr>
          <w:rFonts w:ascii="Times New Roman" w:hAnsi="Times New Roman" w:cs="Times New Roman"/>
          <w:i/>
          <w:color w:val="000000" w:themeColor="text1"/>
          <w:sz w:val="24"/>
          <w:lang w:val="en-GB" w:eastAsia="it-IT"/>
        </w:rPr>
      </w:pPr>
      <w:r>
        <w:rPr>
          <w:rFonts w:ascii="Times New Roman" w:hAnsi="Times New Roman" w:cs="Times New Roman"/>
          <w:i/>
          <w:color w:val="000000" w:themeColor="text1"/>
          <w:sz w:val="24"/>
          <w:lang w:val="en-GB" w:eastAsia="it-IT"/>
        </w:rPr>
        <w:t xml:space="preserve">3.3 </w:t>
      </w:r>
      <w:r w:rsidR="00980A89">
        <w:rPr>
          <w:rFonts w:ascii="Times New Roman" w:hAnsi="Times New Roman" w:cs="Times New Roman"/>
          <w:i/>
          <w:color w:val="000000" w:themeColor="text1"/>
          <w:sz w:val="24"/>
          <w:lang w:val="en-GB" w:eastAsia="it-IT"/>
        </w:rPr>
        <w:t>Finding spaces for value co-creation and service co-production</w:t>
      </w:r>
    </w:p>
    <w:p w:rsidR="0012724A" w:rsidRDefault="000B3B1A" w:rsidP="0012724A">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Some excerpts which were collected from the unstructured interviews help in identifying some potential spaces for value co-creation and service co-production in the higher education context.</w:t>
      </w:r>
      <w:r w:rsidR="00853FF2">
        <w:rPr>
          <w:rFonts w:ascii="Times New Roman" w:hAnsi="Times New Roman"/>
          <w:sz w:val="24"/>
          <w:szCs w:val="24"/>
          <w:lang w:val="en-GB" w:eastAsia="it-IT"/>
        </w:rPr>
        <w:t xml:space="preserve"> Many </w:t>
      </w:r>
      <w:r w:rsidR="003A4392">
        <w:rPr>
          <w:rFonts w:ascii="Times New Roman" w:hAnsi="Times New Roman"/>
          <w:sz w:val="24"/>
          <w:szCs w:val="24"/>
          <w:lang w:val="en-GB" w:eastAsia="it-IT"/>
        </w:rPr>
        <w:t>students reported that their interactions with teachers was negatively affected by the “</w:t>
      </w:r>
      <w:r w:rsidR="003A4392" w:rsidRPr="003A4392">
        <w:rPr>
          <w:rFonts w:ascii="Times New Roman" w:hAnsi="Times New Roman"/>
          <w:i/>
          <w:sz w:val="24"/>
          <w:szCs w:val="24"/>
          <w:lang w:val="en-GB" w:eastAsia="it-IT"/>
        </w:rPr>
        <w:t xml:space="preserve">…focus of learning processes and activities… on conceptual topics, rather than on </w:t>
      </w:r>
      <w:r w:rsidR="003A4392" w:rsidRPr="003A4392">
        <w:rPr>
          <w:rFonts w:ascii="Times New Roman" w:hAnsi="Times New Roman"/>
          <w:i/>
          <w:sz w:val="24"/>
          <w:szCs w:val="24"/>
          <w:lang w:val="en-GB" w:eastAsia="it-IT"/>
        </w:rPr>
        <w:lastRenderedPageBreak/>
        <w:t>practical issues</w:t>
      </w:r>
      <w:r w:rsidR="003A4392">
        <w:rPr>
          <w:rFonts w:ascii="Times New Roman" w:hAnsi="Times New Roman"/>
          <w:sz w:val="24"/>
          <w:szCs w:val="24"/>
          <w:lang w:val="en-GB" w:eastAsia="it-IT"/>
        </w:rPr>
        <w:t>” (St. #26)</w:t>
      </w:r>
      <w:r w:rsidR="00CF2380">
        <w:rPr>
          <w:rFonts w:ascii="Times New Roman" w:hAnsi="Times New Roman"/>
          <w:sz w:val="24"/>
          <w:szCs w:val="24"/>
          <w:lang w:val="en-GB" w:eastAsia="it-IT"/>
        </w:rPr>
        <w:t>.</w:t>
      </w:r>
      <w:r w:rsidR="003A4392">
        <w:rPr>
          <w:rFonts w:ascii="Times New Roman" w:hAnsi="Times New Roman"/>
          <w:sz w:val="24"/>
          <w:szCs w:val="24"/>
          <w:lang w:val="en-GB" w:eastAsia="it-IT"/>
        </w:rPr>
        <w:t xml:space="preserve"> </w:t>
      </w:r>
      <w:r w:rsidR="000C19F4">
        <w:rPr>
          <w:rFonts w:ascii="Times New Roman" w:hAnsi="Times New Roman"/>
          <w:sz w:val="24"/>
          <w:szCs w:val="24"/>
          <w:lang w:val="en-GB" w:eastAsia="it-IT"/>
        </w:rPr>
        <w:t>In addition</w:t>
      </w:r>
      <w:r w:rsidR="003A4392">
        <w:rPr>
          <w:rFonts w:ascii="Times New Roman" w:hAnsi="Times New Roman"/>
          <w:sz w:val="24"/>
          <w:szCs w:val="24"/>
          <w:lang w:val="en-GB" w:eastAsia="it-IT"/>
        </w:rPr>
        <w:t xml:space="preserve">, as argued by </w:t>
      </w:r>
      <w:r w:rsidR="000C19F4">
        <w:rPr>
          <w:rFonts w:ascii="Times New Roman" w:hAnsi="Times New Roman"/>
          <w:sz w:val="24"/>
          <w:szCs w:val="24"/>
          <w:lang w:val="en-GB" w:eastAsia="it-IT"/>
        </w:rPr>
        <w:t>several</w:t>
      </w:r>
      <w:r w:rsidR="003A4392">
        <w:rPr>
          <w:rFonts w:ascii="Times New Roman" w:hAnsi="Times New Roman"/>
          <w:sz w:val="24"/>
          <w:szCs w:val="24"/>
          <w:lang w:val="en-GB" w:eastAsia="it-IT"/>
        </w:rPr>
        <w:t xml:space="preserve"> interviewees, “</w:t>
      </w:r>
      <w:r w:rsidR="003A4392" w:rsidRPr="003A4392">
        <w:rPr>
          <w:rFonts w:ascii="Times New Roman" w:hAnsi="Times New Roman"/>
          <w:i/>
          <w:sz w:val="24"/>
          <w:szCs w:val="24"/>
          <w:lang w:val="en-GB" w:eastAsia="it-IT"/>
        </w:rPr>
        <w:t>… the academic staff… is usually disinterested in the specific learning needs of students</w:t>
      </w:r>
      <w:r w:rsidR="003A4392">
        <w:rPr>
          <w:rFonts w:ascii="Times New Roman" w:hAnsi="Times New Roman"/>
          <w:sz w:val="24"/>
          <w:szCs w:val="24"/>
          <w:lang w:val="en-GB" w:eastAsia="it-IT"/>
        </w:rPr>
        <w:t>” (St. #127); this circumstance was</w:t>
      </w:r>
      <w:r w:rsidR="000C19F4">
        <w:rPr>
          <w:rFonts w:ascii="Times New Roman" w:hAnsi="Times New Roman"/>
          <w:sz w:val="24"/>
          <w:szCs w:val="24"/>
          <w:lang w:val="en-GB" w:eastAsia="it-IT"/>
        </w:rPr>
        <w:t xml:space="preserve"> considered to be</w:t>
      </w:r>
      <w:r w:rsidR="003A4392">
        <w:rPr>
          <w:rFonts w:ascii="Times New Roman" w:hAnsi="Times New Roman"/>
          <w:sz w:val="24"/>
          <w:szCs w:val="24"/>
          <w:lang w:val="en-GB" w:eastAsia="it-IT"/>
        </w:rPr>
        <w:t xml:space="preserve"> primarily produced by the </w:t>
      </w:r>
      <w:r w:rsidR="000C19F4">
        <w:rPr>
          <w:rFonts w:ascii="Times New Roman" w:hAnsi="Times New Roman"/>
          <w:sz w:val="24"/>
          <w:szCs w:val="24"/>
          <w:lang w:val="en-GB" w:eastAsia="it-IT"/>
        </w:rPr>
        <w:t>“</w:t>
      </w:r>
      <w:r w:rsidR="000C19F4" w:rsidRPr="000C19F4">
        <w:rPr>
          <w:rFonts w:ascii="Times New Roman" w:hAnsi="Times New Roman"/>
          <w:i/>
          <w:sz w:val="24"/>
          <w:szCs w:val="24"/>
          <w:lang w:val="en-GB" w:eastAsia="it-IT"/>
        </w:rPr>
        <w:t>…</w:t>
      </w:r>
      <w:r w:rsidR="003A4392" w:rsidRPr="000C19F4">
        <w:rPr>
          <w:rFonts w:ascii="Times New Roman" w:hAnsi="Times New Roman"/>
          <w:i/>
          <w:sz w:val="24"/>
          <w:szCs w:val="24"/>
          <w:lang w:val="en-GB" w:eastAsia="it-IT"/>
        </w:rPr>
        <w:t>propensity of academics</w:t>
      </w:r>
      <w:r w:rsidR="000C19F4" w:rsidRPr="000C19F4">
        <w:rPr>
          <w:rFonts w:ascii="Times New Roman" w:hAnsi="Times New Roman"/>
          <w:i/>
          <w:sz w:val="24"/>
          <w:szCs w:val="24"/>
          <w:lang w:val="en-GB" w:eastAsia="it-IT"/>
        </w:rPr>
        <w:t>…</w:t>
      </w:r>
      <w:r w:rsidR="003A4392" w:rsidRPr="000C19F4">
        <w:rPr>
          <w:rFonts w:ascii="Times New Roman" w:hAnsi="Times New Roman"/>
          <w:i/>
          <w:sz w:val="24"/>
          <w:szCs w:val="24"/>
          <w:lang w:val="en-GB" w:eastAsia="it-IT"/>
        </w:rPr>
        <w:t xml:space="preserve"> to pay greater attention on applied research, rather than on designing engaging and effective teaching courses</w:t>
      </w:r>
      <w:r w:rsidR="003A4392">
        <w:rPr>
          <w:rFonts w:ascii="Times New Roman" w:hAnsi="Times New Roman"/>
          <w:sz w:val="24"/>
          <w:szCs w:val="24"/>
          <w:lang w:val="en-GB" w:eastAsia="it-IT"/>
        </w:rPr>
        <w:t>” (St. #461).</w:t>
      </w:r>
      <w:r w:rsidR="000C19F4">
        <w:rPr>
          <w:rFonts w:ascii="Times New Roman" w:hAnsi="Times New Roman"/>
          <w:sz w:val="24"/>
          <w:szCs w:val="24"/>
          <w:lang w:val="en-GB" w:eastAsia="it-IT"/>
        </w:rPr>
        <w:t xml:space="preserve"> Students emphasized that they felt to be “</w:t>
      </w:r>
      <w:r w:rsidR="000C19F4" w:rsidRPr="000C19F4">
        <w:rPr>
          <w:rFonts w:ascii="Times New Roman" w:hAnsi="Times New Roman"/>
          <w:i/>
          <w:sz w:val="24"/>
          <w:szCs w:val="24"/>
          <w:lang w:val="en-GB" w:eastAsia="it-IT"/>
        </w:rPr>
        <w:t>…disempowered in participating with the academic staff in designing their own learning curriculum</w:t>
      </w:r>
      <w:r w:rsidR="000C19F4">
        <w:rPr>
          <w:rFonts w:ascii="Times New Roman" w:hAnsi="Times New Roman"/>
          <w:sz w:val="24"/>
          <w:szCs w:val="24"/>
          <w:lang w:val="en-GB" w:eastAsia="it-IT"/>
        </w:rPr>
        <w:t>” (St. #933) and in “</w:t>
      </w:r>
      <w:r w:rsidR="000C19F4" w:rsidRPr="000C19F4">
        <w:rPr>
          <w:rFonts w:ascii="Times New Roman" w:hAnsi="Times New Roman"/>
          <w:i/>
          <w:sz w:val="24"/>
          <w:szCs w:val="24"/>
          <w:lang w:val="en-GB" w:eastAsia="it-IT"/>
        </w:rPr>
        <w:t>…defining the traineeship or other practical activities to improve their skills, alongside their conceptual knowledge</w:t>
      </w:r>
      <w:r w:rsidR="000C19F4">
        <w:rPr>
          <w:rFonts w:ascii="Times New Roman" w:hAnsi="Times New Roman"/>
          <w:sz w:val="24"/>
          <w:szCs w:val="24"/>
          <w:lang w:val="en-GB" w:eastAsia="it-IT"/>
        </w:rPr>
        <w:t>” (St. #48). Finally, yet importantly, the students complained that “</w:t>
      </w:r>
      <w:r w:rsidR="000C19F4" w:rsidRPr="000C19F4">
        <w:rPr>
          <w:rFonts w:ascii="Times New Roman" w:hAnsi="Times New Roman"/>
          <w:i/>
          <w:sz w:val="24"/>
          <w:szCs w:val="24"/>
          <w:lang w:val="en-GB" w:eastAsia="it-IT"/>
        </w:rPr>
        <w:t>…the academic staff is used to treat students as… mere users, who have not voice over the attributes of the service delivery</w:t>
      </w:r>
      <w:r w:rsidR="000C19F4">
        <w:rPr>
          <w:rFonts w:ascii="Times New Roman" w:hAnsi="Times New Roman"/>
          <w:sz w:val="24"/>
          <w:szCs w:val="24"/>
          <w:lang w:val="en-GB" w:eastAsia="it-IT"/>
        </w:rPr>
        <w:t>” (St. # 1194); in turn, the students’ lack of voice paves the way for their disengagement and, consequently, for their “</w:t>
      </w:r>
      <w:r w:rsidR="000C19F4" w:rsidRPr="000C19F4">
        <w:rPr>
          <w:rFonts w:ascii="Times New Roman" w:hAnsi="Times New Roman"/>
          <w:i/>
          <w:sz w:val="24"/>
          <w:szCs w:val="24"/>
          <w:lang w:val="en-GB" w:eastAsia="it-IT"/>
        </w:rPr>
        <w:t>…unwillingness to be involved as active co-creators of value</w:t>
      </w:r>
      <w:r w:rsidR="000C19F4">
        <w:rPr>
          <w:rFonts w:ascii="Times New Roman" w:hAnsi="Times New Roman"/>
          <w:sz w:val="24"/>
          <w:szCs w:val="24"/>
          <w:lang w:val="en-GB" w:eastAsia="it-IT"/>
        </w:rPr>
        <w:t>” (St. # 566) in partnership with the academics.</w:t>
      </w:r>
    </w:p>
    <w:p w:rsidR="0012724A" w:rsidRPr="00CD1FA7" w:rsidRDefault="008228A0" w:rsidP="0012724A">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Some intriguing insights were also drawn from the unstructured interviews which were </w:t>
      </w:r>
      <w:r w:rsidR="00560E19">
        <w:rPr>
          <w:rFonts w:ascii="Times New Roman" w:hAnsi="Times New Roman"/>
          <w:sz w:val="24"/>
          <w:szCs w:val="24"/>
          <w:lang w:val="en-GB" w:eastAsia="it-IT"/>
        </w:rPr>
        <w:t>issued by academics. First, the interviewees were consistent in reporting that the “</w:t>
      </w:r>
      <w:r w:rsidR="00560E19" w:rsidRPr="00560E19">
        <w:rPr>
          <w:rFonts w:ascii="Times New Roman" w:hAnsi="Times New Roman"/>
          <w:i/>
          <w:sz w:val="24"/>
          <w:szCs w:val="24"/>
          <w:lang w:val="en-GB" w:eastAsia="it-IT"/>
        </w:rPr>
        <w:t>…academic staff felt to be disempowered in the effort of encouraging… the students to perform as co-producers during the service encounter</w:t>
      </w:r>
      <w:r w:rsidR="00560E19">
        <w:rPr>
          <w:rFonts w:ascii="Times New Roman" w:hAnsi="Times New Roman"/>
          <w:sz w:val="24"/>
          <w:szCs w:val="24"/>
          <w:lang w:val="en-GB" w:eastAsia="it-IT"/>
        </w:rPr>
        <w:t>” (Ac. #38)</w:t>
      </w:r>
      <w:r w:rsidR="009B4676">
        <w:rPr>
          <w:rFonts w:ascii="Times New Roman" w:hAnsi="Times New Roman"/>
          <w:sz w:val="24"/>
          <w:szCs w:val="24"/>
          <w:lang w:val="en-GB" w:eastAsia="it-IT"/>
        </w:rPr>
        <w:t>.</w:t>
      </w:r>
      <w:r w:rsidR="00560E19">
        <w:rPr>
          <w:rFonts w:ascii="Times New Roman" w:hAnsi="Times New Roman"/>
          <w:sz w:val="24"/>
          <w:szCs w:val="24"/>
          <w:lang w:val="en-GB" w:eastAsia="it-IT"/>
        </w:rPr>
        <w:t xml:space="preserve"> Such feeling of disempowerment was primarily triggered by the predisposition of the institution to promote “</w:t>
      </w:r>
      <w:r w:rsidR="00560E19" w:rsidRPr="00560E19">
        <w:rPr>
          <w:rFonts w:ascii="Times New Roman" w:hAnsi="Times New Roman"/>
          <w:i/>
          <w:sz w:val="24"/>
          <w:szCs w:val="24"/>
          <w:lang w:val="en-GB" w:eastAsia="it-IT"/>
        </w:rPr>
        <w:t>…excellence in scientific research…, but not in teaching activities</w:t>
      </w:r>
      <w:r w:rsidR="00560E19">
        <w:rPr>
          <w:rFonts w:ascii="Times New Roman" w:hAnsi="Times New Roman"/>
          <w:sz w:val="24"/>
          <w:szCs w:val="24"/>
          <w:lang w:val="en-GB" w:eastAsia="it-IT"/>
        </w:rPr>
        <w:t>” (Ac. #214). Moreover, the academics agreed that “</w:t>
      </w:r>
      <w:r w:rsidR="00560E19" w:rsidRPr="00560E19">
        <w:rPr>
          <w:rFonts w:ascii="Times New Roman" w:hAnsi="Times New Roman"/>
          <w:i/>
          <w:sz w:val="24"/>
          <w:szCs w:val="24"/>
          <w:lang w:val="en-GB" w:eastAsia="it-IT"/>
        </w:rPr>
        <w:t>…in spite of the efforts performed to increase the connections of the university with international institutional partners</w:t>
      </w:r>
      <w:r w:rsidR="00560E19">
        <w:rPr>
          <w:rFonts w:ascii="Times New Roman" w:hAnsi="Times New Roman"/>
          <w:sz w:val="24"/>
          <w:szCs w:val="24"/>
          <w:lang w:val="en-GB" w:eastAsia="it-IT"/>
        </w:rPr>
        <w:t>” (Ac. #167), the case institution was still “</w:t>
      </w:r>
      <w:r w:rsidR="00560E19" w:rsidRPr="00560E19">
        <w:rPr>
          <w:rFonts w:ascii="Times New Roman" w:hAnsi="Times New Roman"/>
          <w:i/>
          <w:sz w:val="24"/>
          <w:szCs w:val="24"/>
          <w:lang w:val="en-GB" w:eastAsia="it-IT"/>
        </w:rPr>
        <w:t>…suffering from provincialism</w:t>
      </w:r>
      <w:r w:rsidR="00560E19">
        <w:rPr>
          <w:rFonts w:ascii="Times New Roman" w:hAnsi="Times New Roman"/>
          <w:sz w:val="24"/>
          <w:szCs w:val="24"/>
          <w:lang w:val="en-GB" w:eastAsia="it-IT"/>
        </w:rPr>
        <w:t>” (Ac. #98) and “</w:t>
      </w:r>
      <w:r w:rsidR="00560E19" w:rsidRPr="00560E19">
        <w:rPr>
          <w:rFonts w:ascii="Times New Roman" w:hAnsi="Times New Roman"/>
          <w:i/>
          <w:sz w:val="24"/>
          <w:szCs w:val="24"/>
          <w:lang w:val="en-GB" w:eastAsia="it-IT"/>
        </w:rPr>
        <w:t>…limited interest in the contribution of relevant stakeholders – including students – in… co-creating value in collaboration with the academic staff</w:t>
      </w:r>
      <w:r w:rsidR="00560E19">
        <w:rPr>
          <w:rFonts w:ascii="Times New Roman" w:hAnsi="Times New Roman"/>
          <w:sz w:val="24"/>
          <w:szCs w:val="24"/>
          <w:lang w:val="en-GB" w:eastAsia="it-IT"/>
        </w:rPr>
        <w:t>” (Ac. #13). Lastly, the respondents argued that the academics were “</w:t>
      </w:r>
      <w:r w:rsidR="00560E19" w:rsidRPr="00560E19">
        <w:rPr>
          <w:rFonts w:ascii="Times New Roman" w:hAnsi="Times New Roman"/>
          <w:i/>
          <w:sz w:val="24"/>
          <w:szCs w:val="24"/>
          <w:lang w:val="en-GB" w:eastAsia="it-IT"/>
        </w:rPr>
        <w:t>…not properly trained in engaging students as potential service co-producers and value co-creators</w:t>
      </w:r>
      <w:r w:rsidR="00560E19">
        <w:rPr>
          <w:rFonts w:ascii="Times New Roman" w:hAnsi="Times New Roman"/>
          <w:sz w:val="24"/>
          <w:szCs w:val="24"/>
          <w:lang w:val="en-GB" w:eastAsia="it-IT"/>
        </w:rPr>
        <w:t>” (Ac. #114); on the opposite, it seemed that “…the main role of the academic staff is to transfer theoretical knowledge to students” (Ac. #69), “</w:t>
      </w:r>
      <w:r w:rsidR="00560E19" w:rsidRPr="00CC6324">
        <w:rPr>
          <w:rFonts w:ascii="Times New Roman" w:hAnsi="Times New Roman"/>
          <w:i/>
          <w:sz w:val="24"/>
          <w:szCs w:val="24"/>
          <w:lang w:val="en-GB" w:eastAsia="it-IT"/>
        </w:rPr>
        <w:t xml:space="preserve">…providing only limited attention to the real needs of </w:t>
      </w:r>
      <w:r w:rsidR="00CC6324" w:rsidRPr="00CC6324">
        <w:rPr>
          <w:rFonts w:ascii="Times New Roman" w:hAnsi="Times New Roman"/>
          <w:i/>
          <w:sz w:val="24"/>
          <w:szCs w:val="24"/>
          <w:lang w:val="en-GB" w:eastAsia="it-IT"/>
        </w:rPr>
        <w:t>the external environment</w:t>
      </w:r>
      <w:r w:rsidR="00CC6324">
        <w:rPr>
          <w:rFonts w:ascii="Times New Roman" w:hAnsi="Times New Roman"/>
          <w:sz w:val="24"/>
          <w:szCs w:val="24"/>
          <w:lang w:val="en-GB" w:eastAsia="it-IT"/>
        </w:rPr>
        <w:t>” (Ac. #143).</w:t>
      </w:r>
    </w:p>
    <w:p w:rsidR="009B4676" w:rsidRDefault="009B4676" w:rsidP="00191F9B">
      <w:pPr>
        <w:spacing w:after="0" w:line="240" w:lineRule="auto"/>
        <w:jc w:val="both"/>
        <w:rPr>
          <w:rFonts w:ascii="Times New Roman" w:hAnsi="Times New Roman"/>
          <w:sz w:val="24"/>
          <w:szCs w:val="24"/>
          <w:lang w:val="en-GB"/>
        </w:rPr>
      </w:pPr>
    </w:p>
    <w:p w:rsidR="009B4676" w:rsidRPr="00CD1FA7" w:rsidRDefault="009B4676" w:rsidP="00191F9B">
      <w:pPr>
        <w:spacing w:after="0" w:line="240" w:lineRule="auto"/>
        <w:jc w:val="both"/>
        <w:rPr>
          <w:rFonts w:ascii="Times New Roman" w:hAnsi="Times New Roman"/>
          <w:sz w:val="24"/>
          <w:szCs w:val="24"/>
          <w:lang w:val="en-GB"/>
        </w:rPr>
      </w:pPr>
    </w:p>
    <w:p w:rsidR="00A87521" w:rsidRPr="00101D0D" w:rsidRDefault="00A87521" w:rsidP="00A87521">
      <w:pPr>
        <w:pStyle w:val="Titre1"/>
        <w:numPr>
          <w:ilvl w:val="0"/>
          <w:numId w:val="5"/>
        </w:numPr>
        <w:ind w:left="284" w:hanging="284"/>
        <w:rPr>
          <w:rFonts w:ascii="Times New Roman" w:hAnsi="Times New Roman" w:cs="Times New Roman"/>
          <w:b/>
          <w:color w:val="000000" w:themeColor="text1"/>
          <w:sz w:val="24"/>
          <w:szCs w:val="24"/>
          <w:lang w:val="en-GB" w:eastAsia="it-IT"/>
        </w:rPr>
      </w:pPr>
      <w:r>
        <w:rPr>
          <w:rFonts w:ascii="Times New Roman" w:hAnsi="Times New Roman" w:cs="Times New Roman"/>
          <w:b/>
          <w:color w:val="000000" w:themeColor="text1"/>
          <w:sz w:val="24"/>
          <w:szCs w:val="24"/>
          <w:lang w:val="en-GB"/>
        </w:rPr>
        <w:t>Discussion</w:t>
      </w:r>
    </w:p>
    <w:p w:rsidR="00A87521" w:rsidRDefault="00CF5787"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Several limitations affected the consistency of this study and the reliability of the research findings</w:t>
      </w:r>
      <w:r w:rsidR="00980A89">
        <w:rPr>
          <w:rFonts w:ascii="Times New Roman" w:hAnsi="Times New Roman"/>
          <w:sz w:val="24"/>
          <w:szCs w:val="24"/>
          <w:lang w:val="en-GB" w:eastAsia="it-IT"/>
        </w:rPr>
        <w:t>.</w:t>
      </w:r>
      <w:r>
        <w:rPr>
          <w:rFonts w:ascii="Times New Roman" w:hAnsi="Times New Roman"/>
          <w:sz w:val="24"/>
          <w:szCs w:val="24"/>
          <w:lang w:val="en-GB" w:eastAsia="it-IT"/>
        </w:rPr>
        <w:t xml:space="preserve"> The case study approach was compatible with our purpose of collecti</w:t>
      </w:r>
      <w:r w:rsidR="00101A65">
        <w:rPr>
          <w:rFonts w:ascii="Times New Roman" w:hAnsi="Times New Roman"/>
          <w:sz w:val="24"/>
          <w:szCs w:val="24"/>
          <w:lang w:val="en-GB" w:eastAsia="it-IT"/>
        </w:rPr>
        <w:t>ng</w:t>
      </w:r>
      <w:r>
        <w:rPr>
          <w:rFonts w:ascii="Times New Roman" w:hAnsi="Times New Roman"/>
          <w:sz w:val="24"/>
          <w:szCs w:val="24"/>
          <w:lang w:val="en-GB" w:eastAsia="it-IT"/>
        </w:rPr>
        <w:t xml:space="preserve"> first-hand evidence from the observation of the real-life experience of an institution </w:t>
      </w:r>
      <w:r w:rsidR="00101A65">
        <w:rPr>
          <w:rFonts w:ascii="Times New Roman" w:hAnsi="Times New Roman"/>
          <w:sz w:val="24"/>
          <w:szCs w:val="24"/>
          <w:lang w:val="en-GB" w:eastAsia="it-IT"/>
        </w:rPr>
        <w:t xml:space="preserve">which is daily </w:t>
      </w:r>
      <w:r>
        <w:rPr>
          <w:rFonts w:ascii="Times New Roman" w:hAnsi="Times New Roman"/>
          <w:sz w:val="24"/>
          <w:szCs w:val="24"/>
          <w:lang w:val="en-GB" w:eastAsia="it-IT"/>
        </w:rPr>
        <w:t xml:space="preserve">concerned by the challenge of involving students and academics in co-producing educational services and co-creating value. However, </w:t>
      </w:r>
      <w:r w:rsidR="00101A65">
        <w:rPr>
          <w:rFonts w:ascii="Times New Roman" w:hAnsi="Times New Roman"/>
          <w:sz w:val="24"/>
          <w:szCs w:val="24"/>
          <w:lang w:val="en-GB" w:eastAsia="it-IT"/>
        </w:rPr>
        <w:t>this method</w:t>
      </w:r>
      <w:r>
        <w:rPr>
          <w:rFonts w:ascii="Times New Roman" w:hAnsi="Times New Roman"/>
          <w:sz w:val="24"/>
          <w:szCs w:val="24"/>
          <w:lang w:val="en-GB" w:eastAsia="it-IT"/>
        </w:rPr>
        <w:t xml:space="preserve"> produced several shortcomings in terms of biased interpretation of the study results; </w:t>
      </w:r>
      <w:r w:rsidR="00101A65">
        <w:rPr>
          <w:rFonts w:ascii="Times New Roman" w:hAnsi="Times New Roman"/>
          <w:sz w:val="24"/>
          <w:szCs w:val="24"/>
          <w:lang w:val="en-GB" w:eastAsia="it-IT"/>
        </w:rPr>
        <w:t>moreover</w:t>
      </w:r>
      <w:r>
        <w:rPr>
          <w:rFonts w:ascii="Times New Roman" w:hAnsi="Times New Roman"/>
          <w:sz w:val="24"/>
          <w:szCs w:val="24"/>
          <w:lang w:val="en-GB" w:eastAsia="it-IT"/>
        </w:rPr>
        <w:t>, it prevented the generalization of the research findings. Similarly, it is possible that the specificity of the Italian context</w:t>
      </w:r>
      <w:r w:rsidR="00101A65">
        <w:rPr>
          <w:rFonts w:ascii="Times New Roman" w:hAnsi="Times New Roman"/>
          <w:sz w:val="24"/>
          <w:szCs w:val="24"/>
          <w:lang w:val="en-GB" w:eastAsia="it-IT"/>
        </w:rPr>
        <w:t xml:space="preserve"> which was contemplated in this research</w:t>
      </w:r>
      <w:r>
        <w:rPr>
          <w:rFonts w:ascii="Times New Roman" w:hAnsi="Times New Roman"/>
          <w:sz w:val="24"/>
          <w:szCs w:val="24"/>
          <w:lang w:val="en-GB" w:eastAsia="it-IT"/>
        </w:rPr>
        <w:t xml:space="preserve"> affected the evidence reported</w:t>
      </w:r>
      <w:r w:rsidR="00101A65">
        <w:rPr>
          <w:rFonts w:ascii="Times New Roman" w:hAnsi="Times New Roman"/>
          <w:sz w:val="24"/>
          <w:szCs w:val="24"/>
          <w:lang w:val="en-GB" w:eastAsia="it-IT"/>
        </w:rPr>
        <w:t xml:space="preserve"> above</w:t>
      </w:r>
      <w:r>
        <w:rPr>
          <w:rFonts w:ascii="Times New Roman" w:hAnsi="Times New Roman"/>
          <w:sz w:val="24"/>
          <w:szCs w:val="24"/>
          <w:lang w:val="en-GB" w:eastAsia="it-IT"/>
        </w:rPr>
        <w:t xml:space="preserve">. Lastly, </w:t>
      </w:r>
      <w:r w:rsidR="00101A65">
        <w:rPr>
          <w:rFonts w:ascii="Times New Roman" w:hAnsi="Times New Roman"/>
          <w:sz w:val="24"/>
          <w:szCs w:val="24"/>
          <w:lang w:val="en-GB" w:eastAsia="it-IT"/>
        </w:rPr>
        <w:t xml:space="preserve">the exclusive focus on two categories of stakeholders – namely students and academics – limited the breadth of this research; nevertheless, it allowed us to pay attention to the specific issues affecting the interactions between the two main co-creators of value in the higher education context. </w:t>
      </w:r>
    </w:p>
    <w:p w:rsidR="00A87521" w:rsidRDefault="00101A65"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Acknowledging the main study limitations permits us to shed light on several avenues for further developments</w:t>
      </w:r>
      <w:r w:rsidR="00980A89">
        <w:rPr>
          <w:rFonts w:ascii="Times New Roman" w:hAnsi="Times New Roman"/>
          <w:sz w:val="24"/>
          <w:szCs w:val="24"/>
          <w:lang w:val="en-GB" w:eastAsia="it-IT"/>
        </w:rPr>
        <w:t>.</w:t>
      </w:r>
      <w:r>
        <w:rPr>
          <w:rFonts w:ascii="Times New Roman" w:hAnsi="Times New Roman"/>
          <w:sz w:val="24"/>
          <w:szCs w:val="24"/>
          <w:lang w:val="en-GB" w:eastAsia="it-IT"/>
        </w:rPr>
        <w:t xml:space="preserve"> First, a natural evolution of this study consists in the adoption of a longitudinal perspective, which will pave the way for the collection of more dependable data during a prolonged span of time. Beyond increasing the consistency of this research, the longitudinal approach will allow us to understand what kinds of factors are more likely to affect the propensity of students and academics to perform as value co-creators and service </w:t>
      </w:r>
      <w:r>
        <w:rPr>
          <w:rFonts w:ascii="Times New Roman" w:hAnsi="Times New Roman"/>
          <w:sz w:val="24"/>
          <w:szCs w:val="24"/>
          <w:lang w:val="en-GB" w:eastAsia="it-IT"/>
        </w:rPr>
        <w:lastRenderedPageBreak/>
        <w:t>co-producers, thus contributing to the achievement of excellence in the provision of educational services in higher education. Second, a comparative approach is needed to confirm the reliability of the research findings and to suggest sound strategic, organizational, and management indications aimed at fostering value co-creation during the service encounter between students and academics. Finally, yet importantly, further empirical research is required to disentangle the antecedents of the students and academics’ willingness to be involved in service co-production. In fact, to be best of the authors’ knowledge, there is a dearth of studies intended to unravel the determinants of the establishment of co-creating relationships between users and providers in the higher education context.</w:t>
      </w:r>
    </w:p>
    <w:p w:rsidR="00101A65" w:rsidRDefault="004A427A"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In spite of these considerations, the research findings provide some intriguing insights to tentatively answer the research questions at the basis of this research. Students were found to have particular value expectations towards the educational institution. In fact, they were primarily interested in the intrinsic and extrinsic drivers of educational services’ value, </w:t>
      </w:r>
      <w:r w:rsidRPr="004A427A">
        <w:rPr>
          <w:rFonts w:ascii="Times New Roman" w:hAnsi="Times New Roman"/>
          <w:i/>
          <w:sz w:val="24"/>
          <w:szCs w:val="24"/>
          <w:lang w:val="en-GB" w:eastAsia="it-IT"/>
        </w:rPr>
        <w:t>i.e.</w:t>
      </w:r>
      <w:r>
        <w:rPr>
          <w:rFonts w:ascii="Times New Roman" w:hAnsi="Times New Roman"/>
          <w:sz w:val="24"/>
          <w:szCs w:val="24"/>
          <w:lang w:val="en-GB" w:eastAsia="it-IT"/>
        </w:rPr>
        <w:t xml:space="preserve"> in the contribution of the learning processes to contribute in their intellectual, social, and personal development </w:t>
      </w:r>
      <w:r w:rsidRPr="00FC28AB">
        <w:rPr>
          <w:rFonts w:ascii="Times New Roman" w:hAnsi="Times New Roman"/>
          <w:noProof/>
          <w:sz w:val="24"/>
          <w:szCs w:val="24"/>
          <w:lang w:val="en-US" w:eastAsia="it-IT"/>
        </w:rPr>
        <w:t>(Byrne and Flood, 2005)</w:t>
      </w:r>
      <w:r>
        <w:rPr>
          <w:rFonts w:ascii="Times New Roman" w:hAnsi="Times New Roman"/>
          <w:sz w:val="24"/>
          <w:szCs w:val="24"/>
          <w:lang w:val="en-GB" w:eastAsia="it-IT"/>
        </w:rPr>
        <w:t>; moreover, they appreciated the relational attributes of educational services, stressing that the effectiveness and quality of teaching experiences strongly relies on the ability of the academic staff to create a comfortable and vivid learning environment where students are encouraged to actively participate in knowledge creation and assimilation</w:t>
      </w:r>
      <w:r w:rsidR="00A23181" w:rsidRPr="00FC28AB">
        <w:rPr>
          <w:rFonts w:ascii="Times New Roman" w:hAnsi="Times New Roman"/>
          <w:noProof/>
          <w:sz w:val="24"/>
          <w:szCs w:val="24"/>
          <w:lang w:val="en-US" w:eastAsia="it-IT"/>
        </w:rPr>
        <w:t xml:space="preserve"> (Voss et al., 2007)</w:t>
      </w:r>
      <w:r>
        <w:rPr>
          <w:rFonts w:ascii="Times New Roman" w:hAnsi="Times New Roman"/>
          <w:sz w:val="24"/>
          <w:szCs w:val="24"/>
          <w:lang w:val="en-GB" w:eastAsia="it-IT"/>
        </w:rPr>
        <w:t>.</w:t>
      </w:r>
    </w:p>
    <w:p w:rsidR="00983CB1" w:rsidRDefault="00EA3A2E"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The academic staff reported diverging </w:t>
      </w:r>
      <w:r w:rsidR="00CE54FC">
        <w:rPr>
          <w:rFonts w:ascii="Times New Roman" w:hAnsi="Times New Roman"/>
          <w:sz w:val="24"/>
          <w:szCs w:val="24"/>
          <w:lang w:val="en-GB" w:eastAsia="it-IT"/>
        </w:rPr>
        <w:t>value expectations as confronted with students. In fact, they emphasized the importance of relational and emotional factors in realizing conditions for quality excellence in the higher education system</w:t>
      </w:r>
      <w:r w:rsidR="00A04ED0" w:rsidRPr="00FC28AB">
        <w:rPr>
          <w:rFonts w:ascii="Times New Roman" w:hAnsi="Times New Roman"/>
          <w:noProof/>
          <w:sz w:val="24"/>
          <w:szCs w:val="24"/>
          <w:lang w:val="en-US" w:eastAsia="it-IT"/>
        </w:rPr>
        <w:t xml:space="preserve"> (Anushree et al., 2018)</w:t>
      </w:r>
      <w:r w:rsidR="00CE54FC">
        <w:rPr>
          <w:rFonts w:ascii="Times New Roman" w:hAnsi="Times New Roman"/>
          <w:sz w:val="24"/>
          <w:szCs w:val="24"/>
          <w:lang w:val="en-GB" w:eastAsia="it-IT"/>
        </w:rPr>
        <w:t>. On the one hand, the poor attention paid by the institution to the affiliation needs of academics was argued to produce disempowerment and limited organizational commitment</w:t>
      </w:r>
      <w:r w:rsidR="00CE54FC" w:rsidRPr="00FC28AB">
        <w:rPr>
          <w:rFonts w:ascii="Times New Roman" w:hAnsi="Times New Roman"/>
          <w:noProof/>
          <w:sz w:val="24"/>
          <w:szCs w:val="24"/>
          <w:lang w:val="en-US" w:eastAsia="it-IT"/>
        </w:rPr>
        <w:t xml:space="preserve"> (Kok and McDonald, 2017)</w:t>
      </w:r>
      <w:r w:rsidR="00CE54FC">
        <w:rPr>
          <w:rFonts w:ascii="Times New Roman" w:hAnsi="Times New Roman"/>
          <w:sz w:val="24"/>
          <w:szCs w:val="24"/>
          <w:lang w:val="en-GB" w:eastAsia="it-IT"/>
        </w:rPr>
        <w:t xml:space="preserve">; on the other hand, they maintained that the formal and informal support of the institutions in their effort to continuously cope with the evolving challenges raised by the external environment was a crucial driver of success </w:t>
      </w:r>
      <w:r w:rsidR="00CE54FC" w:rsidRPr="00FC28AB">
        <w:rPr>
          <w:rFonts w:ascii="Times New Roman" w:hAnsi="Times New Roman"/>
          <w:noProof/>
          <w:sz w:val="24"/>
          <w:szCs w:val="24"/>
          <w:lang w:val="en-US" w:eastAsia="it-IT"/>
        </w:rPr>
        <w:t>(Díaz et al., 2010)</w:t>
      </w:r>
      <w:r w:rsidR="00CE54FC">
        <w:rPr>
          <w:rFonts w:ascii="Times New Roman" w:hAnsi="Times New Roman"/>
          <w:sz w:val="24"/>
          <w:szCs w:val="24"/>
          <w:lang w:val="en-GB" w:eastAsia="it-IT"/>
        </w:rPr>
        <w:t>.</w:t>
      </w:r>
    </w:p>
    <w:p w:rsidR="00A23181" w:rsidRDefault="00CE54FC"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 xml:space="preserve"> </w:t>
      </w:r>
      <w:r w:rsidR="00983CB1">
        <w:rPr>
          <w:rFonts w:ascii="Times New Roman" w:hAnsi="Times New Roman"/>
          <w:sz w:val="24"/>
          <w:szCs w:val="24"/>
          <w:lang w:val="en-GB" w:eastAsia="it-IT"/>
        </w:rPr>
        <w:t>The limited ability of the case institution to deal with the specific value expectations of students and academics generated two main effects. First, it triggered a</w:t>
      </w:r>
      <w:r w:rsidR="00423A31">
        <w:rPr>
          <w:rFonts w:ascii="Times New Roman" w:hAnsi="Times New Roman"/>
          <w:sz w:val="24"/>
          <w:szCs w:val="24"/>
          <w:lang w:val="en-GB" w:eastAsia="it-IT"/>
        </w:rPr>
        <w:t xml:space="preserve"> sort of dissatisfaction of both the typologies of agents with the educational services provided by the university; second, it produced feelings of frustration and disempowerment among both students and academics, which constrained their willingness to participate in service co-production and value co-creation. Indeed, the accounts recorded during the unstructured interviews pointed out that students and academics perceived the existence of inadequate opportunities for </w:t>
      </w:r>
      <w:r w:rsidR="002361BA">
        <w:rPr>
          <w:rFonts w:ascii="Times New Roman" w:hAnsi="Times New Roman"/>
          <w:sz w:val="24"/>
          <w:szCs w:val="24"/>
          <w:lang w:val="en-GB" w:eastAsia="it-IT"/>
        </w:rPr>
        <w:t>collaboration</w:t>
      </w:r>
      <w:r w:rsidR="00423A31">
        <w:rPr>
          <w:rFonts w:ascii="Times New Roman" w:hAnsi="Times New Roman"/>
          <w:sz w:val="24"/>
          <w:szCs w:val="24"/>
          <w:lang w:val="en-GB" w:eastAsia="it-IT"/>
        </w:rPr>
        <w:t xml:space="preserve"> </w:t>
      </w:r>
      <w:r w:rsidR="002361BA">
        <w:rPr>
          <w:rFonts w:ascii="Times New Roman" w:hAnsi="Times New Roman"/>
          <w:sz w:val="24"/>
          <w:szCs w:val="24"/>
          <w:lang w:val="en-GB" w:eastAsia="it-IT"/>
        </w:rPr>
        <w:t>to</w:t>
      </w:r>
      <w:r w:rsidR="00423A31">
        <w:rPr>
          <w:rFonts w:ascii="Times New Roman" w:hAnsi="Times New Roman"/>
          <w:sz w:val="24"/>
          <w:szCs w:val="24"/>
          <w:lang w:val="en-GB" w:eastAsia="it-IT"/>
        </w:rPr>
        <w:t xml:space="preserve"> achieving excellence in the provision of educational services</w:t>
      </w:r>
      <w:r w:rsidR="0027775E" w:rsidRPr="00FC28AB">
        <w:rPr>
          <w:rFonts w:ascii="Times New Roman" w:hAnsi="Times New Roman"/>
          <w:noProof/>
          <w:sz w:val="24"/>
          <w:szCs w:val="24"/>
          <w:lang w:val="en-US" w:eastAsia="it-IT"/>
        </w:rPr>
        <w:t xml:space="preserve"> (Mercer-Mapstone et al., 2017)</w:t>
      </w:r>
      <w:r w:rsidR="00423A31">
        <w:rPr>
          <w:rFonts w:ascii="Times New Roman" w:hAnsi="Times New Roman"/>
          <w:sz w:val="24"/>
          <w:szCs w:val="24"/>
          <w:lang w:val="en-GB" w:eastAsia="it-IT"/>
        </w:rPr>
        <w:t>.</w:t>
      </w:r>
      <w:r w:rsidR="002361BA">
        <w:rPr>
          <w:rFonts w:ascii="Times New Roman" w:hAnsi="Times New Roman"/>
          <w:sz w:val="24"/>
          <w:szCs w:val="24"/>
          <w:lang w:val="en-GB" w:eastAsia="it-IT"/>
        </w:rPr>
        <w:t xml:space="preserve"> Students complained the inadequate interests of academics in conceiving them as service co-producers during the different steps of the service encounter; at the same time, academics reported to do not have proper institutional and organizational support by the case university to involve students in a co-creating relationship. From this point of view, the reconfiguration of the university’s policies, structures, and learning processes in a perspective of student </w:t>
      </w:r>
      <w:proofErr w:type="spellStart"/>
      <w:r w:rsidR="002361BA">
        <w:rPr>
          <w:rFonts w:ascii="Times New Roman" w:hAnsi="Times New Roman"/>
          <w:sz w:val="24"/>
          <w:szCs w:val="24"/>
          <w:lang w:val="en-GB" w:eastAsia="it-IT"/>
        </w:rPr>
        <w:t>centredness</w:t>
      </w:r>
      <w:proofErr w:type="spellEnd"/>
      <w:r w:rsidR="002361BA">
        <w:rPr>
          <w:rFonts w:ascii="Times New Roman" w:hAnsi="Times New Roman"/>
          <w:sz w:val="24"/>
          <w:szCs w:val="24"/>
          <w:lang w:val="en-GB" w:eastAsia="it-IT"/>
        </w:rPr>
        <w:t xml:space="preserve"> turn out to be essential in an attempt to create better opportunities of value co-creation between students and academics</w:t>
      </w:r>
      <w:r w:rsidR="00CF3C42" w:rsidRPr="00FC28AB">
        <w:rPr>
          <w:rFonts w:ascii="Times New Roman" w:hAnsi="Times New Roman"/>
          <w:noProof/>
          <w:sz w:val="24"/>
          <w:szCs w:val="24"/>
          <w:lang w:val="en-US" w:eastAsia="it-IT"/>
        </w:rPr>
        <w:t xml:space="preserve"> (Meijer, 2016; Klemenčič, 2017)</w:t>
      </w:r>
      <w:r w:rsidR="002361BA">
        <w:rPr>
          <w:rFonts w:ascii="Times New Roman" w:hAnsi="Times New Roman"/>
          <w:sz w:val="24"/>
          <w:szCs w:val="24"/>
          <w:lang w:val="en-GB" w:eastAsia="it-IT"/>
        </w:rPr>
        <w:t>.</w:t>
      </w:r>
    </w:p>
    <w:p w:rsidR="00191F9B" w:rsidRDefault="00191F9B" w:rsidP="00191F9B">
      <w:pPr>
        <w:spacing w:after="0" w:line="240" w:lineRule="auto"/>
        <w:jc w:val="both"/>
        <w:rPr>
          <w:rFonts w:ascii="Times New Roman" w:hAnsi="Times New Roman"/>
          <w:sz w:val="24"/>
          <w:szCs w:val="24"/>
          <w:lang w:val="en-GB"/>
        </w:rPr>
      </w:pPr>
    </w:p>
    <w:p w:rsidR="00A87521" w:rsidRDefault="00A87521" w:rsidP="00191F9B">
      <w:pPr>
        <w:spacing w:after="0" w:line="240" w:lineRule="auto"/>
        <w:jc w:val="both"/>
        <w:rPr>
          <w:rFonts w:ascii="Times New Roman" w:hAnsi="Times New Roman"/>
          <w:sz w:val="24"/>
          <w:szCs w:val="24"/>
          <w:lang w:val="en-GB"/>
        </w:rPr>
      </w:pPr>
    </w:p>
    <w:p w:rsidR="00A87521" w:rsidRPr="00101D0D" w:rsidRDefault="00A87521" w:rsidP="00A87521">
      <w:pPr>
        <w:pStyle w:val="Titre1"/>
        <w:numPr>
          <w:ilvl w:val="0"/>
          <w:numId w:val="5"/>
        </w:numPr>
        <w:ind w:left="284" w:hanging="284"/>
        <w:rPr>
          <w:rFonts w:ascii="Times New Roman" w:hAnsi="Times New Roman" w:cs="Times New Roman"/>
          <w:b/>
          <w:color w:val="000000" w:themeColor="text1"/>
          <w:sz w:val="24"/>
          <w:szCs w:val="24"/>
          <w:lang w:val="en-GB" w:eastAsia="it-IT"/>
        </w:rPr>
      </w:pPr>
      <w:r>
        <w:rPr>
          <w:rFonts w:ascii="Times New Roman" w:hAnsi="Times New Roman" w:cs="Times New Roman"/>
          <w:b/>
          <w:color w:val="000000" w:themeColor="text1"/>
          <w:sz w:val="24"/>
          <w:szCs w:val="24"/>
          <w:lang w:val="en-GB"/>
        </w:rPr>
        <w:t>Conclusions</w:t>
      </w:r>
    </w:p>
    <w:p w:rsidR="00A87521" w:rsidRDefault="008103DD"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The rese</w:t>
      </w:r>
      <w:r w:rsidR="00BC6101">
        <w:rPr>
          <w:rFonts w:ascii="Times New Roman" w:hAnsi="Times New Roman"/>
          <w:sz w:val="24"/>
          <w:szCs w:val="24"/>
          <w:lang w:val="en-GB" w:eastAsia="it-IT"/>
        </w:rPr>
        <w:t>arch implications are twofold</w:t>
      </w:r>
      <w:r w:rsidR="00980A89">
        <w:rPr>
          <w:rFonts w:ascii="Times New Roman" w:hAnsi="Times New Roman"/>
          <w:sz w:val="24"/>
          <w:szCs w:val="24"/>
          <w:lang w:val="en-GB" w:eastAsia="it-IT"/>
        </w:rPr>
        <w:t>.</w:t>
      </w:r>
      <w:r w:rsidR="00BC6101">
        <w:rPr>
          <w:rFonts w:ascii="Times New Roman" w:hAnsi="Times New Roman"/>
          <w:sz w:val="24"/>
          <w:szCs w:val="24"/>
          <w:lang w:val="en-GB" w:eastAsia="it-IT"/>
        </w:rPr>
        <w:t xml:space="preserve"> From a conceptual standpoint, it emphasizes the importance of students and academics value expectations and perceptions in triggering </w:t>
      </w:r>
      <w:r w:rsidR="00BC6101">
        <w:rPr>
          <w:rFonts w:ascii="Times New Roman" w:hAnsi="Times New Roman"/>
          <w:sz w:val="24"/>
          <w:szCs w:val="24"/>
          <w:lang w:val="en-GB" w:eastAsia="it-IT"/>
        </w:rPr>
        <w:lastRenderedPageBreak/>
        <w:t>opportunities for value co-creation. Whilst the congruence of the outlooks of these two categories of agents are expected to engender value co-creation, inconsistent perspectives might pave the way for value co-destruction. The limited ability of higher education institutions to elicit and to steer the value perceptions of students and academics is thought to imply both low quality of educational services and unwillingness of users and providers to establish a co-creating partnership aimed at achieving excellence in the higher education context.</w:t>
      </w:r>
    </w:p>
    <w:p w:rsidR="00A87521" w:rsidRDefault="00BC6101" w:rsidP="00A87521">
      <w:pPr>
        <w:spacing w:after="0" w:line="240" w:lineRule="auto"/>
        <w:ind w:firstLine="284"/>
        <w:jc w:val="both"/>
        <w:rPr>
          <w:rFonts w:ascii="Times New Roman" w:hAnsi="Times New Roman"/>
          <w:sz w:val="24"/>
          <w:szCs w:val="24"/>
          <w:lang w:val="en-GB" w:eastAsia="it-IT"/>
        </w:rPr>
      </w:pPr>
      <w:r>
        <w:rPr>
          <w:rFonts w:ascii="Times New Roman" w:hAnsi="Times New Roman"/>
          <w:sz w:val="24"/>
          <w:szCs w:val="24"/>
          <w:lang w:val="en-GB" w:eastAsia="it-IT"/>
        </w:rPr>
        <w:t>From a practical point of view,</w:t>
      </w:r>
      <w:r w:rsidR="003023EC">
        <w:rPr>
          <w:rFonts w:ascii="Times New Roman" w:hAnsi="Times New Roman"/>
          <w:sz w:val="24"/>
          <w:szCs w:val="24"/>
          <w:lang w:val="en-GB" w:eastAsia="it-IT"/>
        </w:rPr>
        <w:t xml:space="preserve"> the article suggests that a multifaceted set of interventions is requires in order to engage students and academics in service co-production and value co-creation</w:t>
      </w:r>
      <w:r w:rsidR="00980A89">
        <w:rPr>
          <w:rFonts w:ascii="Times New Roman" w:hAnsi="Times New Roman"/>
          <w:sz w:val="24"/>
          <w:szCs w:val="24"/>
          <w:lang w:val="en-GB" w:eastAsia="it-IT"/>
        </w:rPr>
        <w:t>.</w:t>
      </w:r>
      <w:r w:rsidR="003023EC">
        <w:rPr>
          <w:rFonts w:ascii="Times New Roman" w:hAnsi="Times New Roman"/>
          <w:sz w:val="24"/>
          <w:szCs w:val="24"/>
          <w:lang w:val="en-GB" w:eastAsia="it-IT"/>
        </w:rPr>
        <w:t xml:space="preserve"> Adopting a strategic outlook, educational institutions should revise their </w:t>
      </w:r>
      <w:r w:rsidR="00D442BB">
        <w:rPr>
          <w:rFonts w:ascii="Times New Roman" w:hAnsi="Times New Roman"/>
          <w:sz w:val="24"/>
          <w:szCs w:val="24"/>
          <w:lang w:val="en-GB" w:eastAsia="it-IT"/>
        </w:rPr>
        <w:t>human resources management policies and practices, including the ability to establish a co-creating partnership with students among the criteria used to assess the performance of the academic staff. Embracing an organizational perspective, two interventions are needed to boost a student-centred approach in the delivery of educational services</w:t>
      </w:r>
      <w:r w:rsidR="00006927">
        <w:rPr>
          <w:rFonts w:ascii="Times New Roman" w:hAnsi="Times New Roman"/>
          <w:sz w:val="24"/>
          <w:szCs w:val="24"/>
          <w:lang w:val="en-GB" w:eastAsia="it-IT"/>
        </w:rPr>
        <w:t>.</w:t>
      </w:r>
      <w:r w:rsidR="00D442BB">
        <w:rPr>
          <w:rFonts w:ascii="Times New Roman" w:hAnsi="Times New Roman"/>
          <w:sz w:val="24"/>
          <w:szCs w:val="24"/>
          <w:lang w:val="en-GB" w:eastAsia="it-IT"/>
        </w:rPr>
        <w:t xml:space="preserve"> </w:t>
      </w:r>
      <w:r w:rsidR="00006927">
        <w:rPr>
          <w:rFonts w:ascii="Times New Roman" w:hAnsi="Times New Roman"/>
          <w:sz w:val="24"/>
          <w:szCs w:val="24"/>
          <w:lang w:val="en-GB" w:eastAsia="it-IT"/>
        </w:rPr>
        <w:t>F</w:t>
      </w:r>
      <w:r w:rsidR="00D442BB">
        <w:rPr>
          <w:rFonts w:ascii="Times New Roman" w:hAnsi="Times New Roman"/>
          <w:sz w:val="24"/>
          <w:szCs w:val="24"/>
          <w:lang w:val="en-GB" w:eastAsia="it-IT"/>
        </w:rPr>
        <w:t>irst</w:t>
      </w:r>
      <w:r w:rsidR="00006927">
        <w:rPr>
          <w:rFonts w:ascii="Times New Roman" w:hAnsi="Times New Roman"/>
          <w:sz w:val="24"/>
          <w:szCs w:val="24"/>
          <w:lang w:val="en-GB" w:eastAsia="it-IT"/>
        </w:rPr>
        <w:t>ly</w:t>
      </w:r>
      <w:r w:rsidR="00D442BB">
        <w:rPr>
          <w:rFonts w:ascii="Times New Roman" w:hAnsi="Times New Roman"/>
          <w:sz w:val="24"/>
          <w:szCs w:val="24"/>
          <w:lang w:val="en-GB" w:eastAsia="it-IT"/>
        </w:rPr>
        <w:t>, learning environments should be redesigned</w:t>
      </w:r>
      <w:r w:rsidR="00006927">
        <w:rPr>
          <w:rFonts w:ascii="Times New Roman" w:hAnsi="Times New Roman"/>
          <w:sz w:val="24"/>
          <w:szCs w:val="24"/>
          <w:lang w:val="en-GB" w:eastAsia="it-IT"/>
        </w:rPr>
        <w:t>, removing the formal and informal barriers that prevent a friendly and comfortable interactions between students and academics. Secondly, educational programmes should be reframed, involving public and private companies in co-designing and co-delivering tailored learning activities to students; in fact, the involvement of firms in the reconfiguration of the teaching offerings of educational institutions might represent a stimulus to student-centredness and to the active engagement of students in the process of value co-creation. Lastly, from a management standpoint, greater efforts should be realized to identify the evolving value expectations of students and academics and to match them, in an attempt to avoid their disengagement and increase their commitment to excellence in higher education.</w:t>
      </w:r>
    </w:p>
    <w:p w:rsidR="00191F9B" w:rsidRPr="00A87521" w:rsidRDefault="00191F9B" w:rsidP="00A87521">
      <w:pPr>
        <w:pStyle w:val="Titre1"/>
        <w:ind w:left="284"/>
        <w:rPr>
          <w:rFonts w:ascii="Times New Roman" w:hAnsi="Times New Roman" w:cs="Times New Roman"/>
          <w:b/>
          <w:color w:val="000000" w:themeColor="text1"/>
          <w:sz w:val="24"/>
          <w:szCs w:val="24"/>
          <w:lang w:val="en-GB"/>
        </w:rPr>
      </w:pPr>
      <w:r w:rsidRPr="00A87521">
        <w:rPr>
          <w:rFonts w:ascii="Times New Roman" w:hAnsi="Times New Roman" w:cs="Times New Roman"/>
          <w:b/>
          <w:color w:val="000000" w:themeColor="text1"/>
          <w:sz w:val="24"/>
          <w:szCs w:val="24"/>
          <w:lang w:val="en-GB"/>
        </w:rPr>
        <w:t>References</w:t>
      </w:r>
    </w:p>
    <w:p w:rsidR="00CF3C42" w:rsidRPr="00BC6101" w:rsidRDefault="008509C0"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fldChar w:fldCharType="begin"/>
      </w:r>
      <w:r w:rsidR="00CF3C42" w:rsidRPr="00BC6101">
        <w:rPr>
          <w:rFonts w:ascii="Times New Roman" w:hAnsi="Times New Roman"/>
          <w:sz w:val="24"/>
          <w:szCs w:val="24"/>
          <w:lang w:val="en-GB"/>
        </w:rPr>
        <w:instrText xml:space="preserve"> BIBLIOGRAPHY  \l 1040 </w:instrText>
      </w:r>
      <w:r w:rsidRPr="00BC6101">
        <w:rPr>
          <w:rFonts w:ascii="Times New Roman" w:hAnsi="Times New Roman"/>
          <w:sz w:val="24"/>
          <w:szCs w:val="24"/>
          <w:lang w:val="en-GB"/>
        </w:rPr>
        <w:fldChar w:fldCharType="separate"/>
      </w:r>
      <w:r w:rsidR="00BC6101" w:rsidRPr="00BC6101">
        <w:rPr>
          <w:rFonts w:ascii="Times New Roman" w:hAnsi="Times New Roman"/>
          <w:sz w:val="24"/>
          <w:szCs w:val="24"/>
          <w:lang w:val="en-GB"/>
        </w:rPr>
        <w:t>Anushree, C., Goel, M., Arora, R.</w:t>
      </w:r>
      <w:r w:rsidR="00CF3C42" w:rsidRPr="00BC6101">
        <w:rPr>
          <w:rFonts w:ascii="Times New Roman" w:hAnsi="Times New Roman"/>
          <w:sz w:val="24"/>
          <w:szCs w:val="24"/>
          <w:lang w:val="en-GB"/>
        </w:rPr>
        <w:t xml:space="preserve">G. (2018). Motivation Among Higher Education Academicians: A Journey Through Literature Survey. </w:t>
      </w:r>
      <w:r w:rsidR="00CF3C42" w:rsidRPr="00BC6101">
        <w:rPr>
          <w:rFonts w:ascii="Times New Roman" w:hAnsi="Times New Roman"/>
          <w:i/>
          <w:iCs/>
          <w:sz w:val="24"/>
          <w:szCs w:val="24"/>
          <w:lang w:val="en-GB"/>
        </w:rPr>
        <w:t>Amity Global HRM Review, 8</w:t>
      </w:r>
      <w:r w:rsidR="00CF3C42" w:rsidRPr="00BC6101">
        <w:rPr>
          <w:rFonts w:ascii="Times New Roman" w:hAnsi="Times New Roman"/>
          <w:sz w:val="24"/>
          <w:szCs w:val="24"/>
          <w:lang w:val="en-GB"/>
        </w:rPr>
        <w:t>(1), 55-61.</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Barnacle, R.,</w:t>
      </w:r>
      <w:r w:rsidR="00CF3C42" w:rsidRPr="00BC6101">
        <w:rPr>
          <w:rFonts w:ascii="Times New Roman" w:hAnsi="Times New Roman"/>
          <w:sz w:val="24"/>
          <w:szCs w:val="24"/>
          <w:lang w:val="en-GB"/>
        </w:rPr>
        <w:t xml:space="preserve"> Dall’Alba, G. (2017). Committed to learn: student engagement and care in higher education. </w:t>
      </w:r>
      <w:r w:rsidR="00CF3C42" w:rsidRPr="00BC6101">
        <w:rPr>
          <w:rFonts w:ascii="Times New Roman" w:hAnsi="Times New Roman"/>
          <w:i/>
          <w:iCs/>
          <w:sz w:val="24"/>
          <w:szCs w:val="24"/>
          <w:lang w:val="en-GB"/>
        </w:rPr>
        <w:t>Higher Education Research &amp; Development, 36</w:t>
      </w:r>
      <w:r w:rsidR="00CF3C42" w:rsidRPr="00BC6101">
        <w:rPr>
          <w:rFonts w:ascii="Times New Roman" w:hAnsi="Times New Roman"/>
          <w:sz w:val="24"/>
          <w:szCs w:val="24"/>
          <w:lang w:val="en-GB"/>
        </w:rPr>
        <w:t>(7), 1326-1338.</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Baron, S.,</w:t>
      </w:r>
      <w:r w:rsidR="00CF3C42" w:rsidRPr="00BC6101">
        <w:rPr>
          <w:rFonts w:ascii="Times New Roman" w:hAnsi="Times New Roman"/>
          <w:sz w:val="24"/>
          <w:szCs w:val="24"/>
          <w:lang w:val="en-GB"/>
        </w:rPr>
        <w:t xml:space="preserve"> Warnaby, G. (2011). Individual customers' use and integration of resources: Empirical findings and organizational implications in the context of value co-creation. </w:t>
      </w:r>
      <w:r w:rsidR="00CF3C42" w:rsidRPr="00BC6101">
        <w:rPr>
          <w:rFonts w:ascii="Times New Roman" w:hAnsi="Times New Roman"/>
          <w:i/>
          <w:iCs/>
          <w:sz w:val="24"/>
          <w:szCs w:val="24"/>
          <w:lang w:val="en-GB"/>
        </w:rPr>
        <w:t>Industrial Marketing Management, 40</w:t>
      </w:r>
      <w:r w:rsidR="00CF3C42" w:rsidRPr="00BC6101">
        <w:rPr>
          <w:rFonts w:ascii="Times New Roman" w:hAnsi="Times New Roman"/>
          <w:sz w:val="24"/>
          <w:szCs w:val="24"/>
          <w:lang w:val="en-GB"/>
        </w:rPr>
        <w:t>(2), 211-218.</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Bendermacher, G.</w:t>
      </w:r>
      <w:r w:rsidR="00CF3C42" w:rsidRPr="00BC6101">
        <w:rPr>
          <w:rFonts w:ascii="Times New Roman" w:hAnsi="Times New Roman"/>
          <w:sz w:val="24"/>
          <w:szCs w:val="24"/>
          <w:lang w:val="en-GB"/>
        </w:rPr>
        <w:t>W., oude Egbr</w:t>
      </w:r>
      <w:r>
        <w:rPr>
          <w:rFonts w:ascii="Times New Roman" w:hAnsi="Times New Roman"/>
          <w:sz w:val="24"/>
          <w:szCs w:val="24"/>
          <w:lang w:val="en-GB"/>
        </w:rPr>
        <w:t>ink, I.M.G., Wolfhagen, H.A., Dolmans, D.</w:t>
      </w:r>
      <w:r w:rsidR="00CF3C42" w:rsidRPr="00BC6101">
        <w:rPr>
          <w:rFonts w:ascii="Times New Roman" w:hAnsi="Times New Roman"/>
          <w:sz w:val="24"/>
          <w:szCs w:val="24"/>
          <w:lang w:val="en-GB"/>
        </w:rPr>
        <w:t xml:space="preserve">H. (2017). Unravelling quality culture in higher education: a realist review. </w:t>
      </w:r>
      <w:r w:rsidR="00CF3C42" w:rsidRPr="00BC6101">
        <w:rPr>
          <w:rFonts w:ascii="Times New Roman" w:hAnsi="Times New Roman"/>
          <w:i/>
          <w:iCs/>
          <w:sz w:val="24"/>
          <w:szCs w:val="24"/>
          <w:lang w:val="en-GB"/>
        </w:rPr>
        <w:t>Higher Education, 73</w:t>
      </w:r>
      <w:r w:rsidR="00CF3C42" w:rsidRPr="00BC6101">
        <w:rPr>
          <w:rFonts w:ascii="Times New Roman" w:hAnsi="Times New Roman"/>
          <w:sz w:val="24"/>
          <w:szCs w:val="24"/>
          <w:lang w:val="en-GB"/>
        </w:rPr>
        <w:t>(1), 39-60.</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Bergmark, U.,</w:t>
      </w:r>
      <w:r w:rsidR="00CF3C42" w:rsidRPr="00BC6101">
        <w:rPr>
          <w:rFonts w:ascii="Times New Roman" w:hAnsi="Times New Roman"/>
          <w:sz w:val="24"/>
          <w:szCs w:val="24"/>
          <w:lang w:val="en-GB"/>
        </w:rPr>
        <w:t xml:space="preserve"> Westman, S. (2018). Student participation within teacher education: emphasising democratic values, engagement and learning for a future profession. </w:t>
      </w:r>
      <w:r w:rsidR="00CF3C42" w:rsidRPr="00BC6101">
        <w:rPr>
          <w:rFonts w:ascii="Times New Roman" w:hAnsi="Times New Roman"/>
          <w:i/>
          <w:iCs/>
          <w:sz w:val="24"/>
          <w:szCs w:val="24"/>
          <w:lang w:val="en-GB"/>
        </w:rPr>
        <w:t>Higher Education Research &amp; Development, 37</w:t>
      </w:r>
      <w:r w:rsidR="00CF3C42" w:rsidRPr="00BC6101">
        <w:rPr>
          <w:rFonts w:ascii="Times New Roman" w:hAnsi="Times New Roman"/>
          <w:sz w:val="24"/>
          <w:szCs w:val="24"/>
          <w:lang w:val="en-GB"/>
        </w:rPr>
        <w:t>(7), 1352-1365.</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Boscar</w:t>
      </w:r>
      <w:r w:rsidR="002F3EF1">
        <w:rPr>
          <w:rFonts w:ascii="Times New Roman" w:hAnsi="Times New Roman"/>
          <w:sz w:val="24"/>
          <w:szCs w:val="24"/>
          <w:lang w:val="en-GB"/>
        </w:rPr>
        <w:t>din, M.L.,</w:t>
      </w:r>
      <w:r w:rsidRPr="00BC6101">
        <w:rPr>
          <w:rFonts w:ascii="Times New Roman" w:hAnsi="Times New Roman"/>
          <w:sz w:val="24"/>
          <w:szCs w:val="24"/>
          <w:lang w:val="en-GB"/>
        </w:rPr>
        <w:t xml:space="preserve"> Jacobson, S. (1997). The inclusive school: Integrating diversity and solidarity through community‐based management. </w:t>
      </w:r>
      <w:r w:rsidRPr="00BC6101">
        <w:rPr>
          <w:rFonts w:ascii="Times New Roman" w:hAnsi="Times New Roman"/>
          <w:i/>
          <w:iCs/>
          <w:sz w:val="24"/>
          <w:szCs w:val="24"/>
          <w:lang w:val="en-GB"/>
        </w:rPr>
        <w:t>Journal of Educational Administration, 35</w:t>
      </w:r>
      <w:r w:rsidRPr="00BC6101">
        <w:rPr>
          <w:rFonts w:ascii="Times New Roman" w:hAnsi="Times New Roman"/>
          <w:sz w:val="24"/>
          <w:szCs w:val="24"/>
          <w:lang w:val="en-GB"/>
        </w:rPr>
        <w:t>(5), 466-476.</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Brandsen, T., Verschuere, B., Steen, T. (2018). </w:t>
      </w:r>
      <w:r w:rsidRPr="00BC6101">
        <w:rPr>
          <w:rFonts w:ascii="Times New Roman" w:hAnsi="Times New Roman"/>
          <w:i/>
          <w:iCs/>
          <w:sz w:val="24"/>
          <w:szCs w:val="24"/>
          <w:lang w:val="en-GB"/>
        </w:rPr>
        <w:t>Co-production and co-creation: Engaging citizens in public services.</w:t>
      </w:r>
      <w:r w:rsidRPr="00BC6101">
        <w:rPr>
          <w:rFonts w:ascii="Times New Roman" w:hAnsi="Times New Roman"/>
          <w:sz w:val="24"/>
          <w:szCs w:val="24"/>
          <w:lang w:val="en-GB"/>
        </w:rPr>
        <w:t xml:space="preserve"> New York: Routledge.</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lastRenderedPageBreak/>
        <w:t>Bringle, R.</w:t>
      </w:r>
      <w:r w:rsidR="00CF3C42" w:rsidRPr="00BC6101">
        <w:rPr>
          <w:rFonts w:ascii="Times New Roman" w:hAnsi="Times New Roman"/>
          <w:sz w:val="24"/>
          <w:szCs w:val="24"/>
          <w:lang w:val="en-GB"/>
        </w:rPr>
        <w:t xml:space="preserve">G., Hatcher, J.A. (1996). Implementing Service Learning in Higher Education. </w:t>
      </w:r>
      <w:r w:rsidR="00CF3C42" w:rsidRPr="00BC6101">
        <w:rPr>
          <w:rFonts w:ascii="Times New Roman" w:hAnsi="Times New Roman"/>
          <w:i/>
          <w:iCs/>
          <w:sz w:val="24"/>
          <w:szCs w:val="24"/>
          <w:lang w:val="en-GB"/>
        </w:rPr>
        <w:t>Journal of Higher Education</w:t>
      </w:r>
      <w:r w:rsidR="00CF3C42" w:rsidRPr="00BC6101">
        <w:rPr>
          <w:rFonts w:ascii="Times New Roman" w:hAnsi="Times New Roman"/>
          <w:sz w:val="24"/>
          <w:szCs w:val="24"/>
          <w:lang w:val="en-GB"/>
        </w:rPr>
        <w:t>, 221-239.</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Brooman, S., Darwent, S., Pimor, A. (2015). The student voice in higher education curriculum design: is there value in listening? </w:t>
      </w:r>
      <w:r w:rsidRPr="00BC6101">
        <w:rPr>
          <w:rFonts w:ascii="Times New Roman" w:hAnsi="Times New Roman"/>
          <w:i/>
          <w:iCs/>
          <w:sz w:val="24"/>
          <w:szCs w:val="24"/>
          <w:lang w:val="en-GB"/>
        </w:rPr>
        <w:t>Innovations in Education and Teaching International, 52</w:t>
      </w:r>
      <w:r w:rsidRPr="00BC6101">
        <w:rPr>
          <w:rFonts w:ascii="Times New Roman" w:hAnsi="Times New Roman"/>
          <w:sz w:val="24"/>
          <w:szCs w:val="24"/>
          <w:lang w:val="en-GB"/>
        </w:rPr>
        <w:t>(6), 663-674.</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Bryson, C. (2016). Engagement through partnership: students as partners in learning and teaching in higher education. </w:t>
      </w:r>
      <w:r w:rsidRPr="00BC6101">
        <w:rPr>
          <w:rFonts w:ascii="Times New Roman" w:hAnsi="Times New Roman"/>
          <w:i/>
          <w:iCs/>
          <w:sz w:val="24"/>
          <w:szCs w:val="24"/>
          <w:lang w:val="en-GB"/>
        </w:rPr>
        <w:t>International Journal for Academic Development, 21</w:t>
      </w:r>
      <w:r w:rsidRPr="00BC6101">
        <w:rPr>
          <w:rFonts w:ascii="Times New Roman" w:hAnsi="Times New Roman"/>
          <w:sz w:val="24"/>
          <w:szCs w:val="24"/>
          <w:lang w:val="en-GB"/>
        </w:rPr>
        <w:t>(1), 84-86.</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Burden, P., </w:t>
      </w:r>
      <w:r w:rsidR="002F3EF1">
        <w:rPr>
          <w:rFonts w:ascii="Times New Roman" w:hAnsi="Times New Roman"/>
          <w:sz w:val="24"/>
          <w:szCs w:val="24"/>
          <w:lang w:val="en-GB"/>
        </w:rPr>
        <w:t>Poma, S., Page, N., Allen, S.,</w:t>
      </w:r>
      <w:r w:rsidRPr="00BC6101">
        <w:rPr>
          <w:rFonts w:ascii="Times New Roman" w:hAnsi="Times New Roman"/>
          <w:sz w:val="24"/>
          <w:szCs w:val="24"/>
          <w:lang w:val="en-GB"/>
        </w:rPr>
        <w:t xml:space="preserve"> Birad, J. (2018). Defining high quality teaching: perceptions of students and academics. </w:t>
      </w:r>
      <w:r w:rsidRPr="00BC6101">
        <w:rPr>
          <w:rFonts w:ascii="Times New Roman" w:hAnsi="Times New Roman"/>
          <w:i/>
          <w:iCs/>
          <w:sz w:val="24"/>
          <w:szCs w:val="24"/>
          <w:lang w:val="en-GB"/>
        </w:rPr>
        <w:t>Understanding and improving the student experience: making a real difference in the new age of metrics</w:t>
      </w:r>
      <w:r w:rsidRPr="002F3EF1">
        <w:rPr>
          <w:rFonts w:ascii="Times New Roman" w:hAnsi="Times New Roman"/>
          <w:iCs/>
          <w:sz w:val="24"/>
          <w:szCs w:val="24"/>
          <w:lang w:val="en-GB"/>
        </w:rPr>
        <w:t>; May, 10</w:t>
      </w:r>
      <w:r w:rsidRPr="002F3EF1">
        <w:rPr>
          <w:rFonts w:ascii="Times New Roman" w:hAnsi="Times New Roman"/>
          <w:iCs/>
          <w:sz w:val="24"/>
          <w:szCs w:val="24"/>
          <w:vertAlign w:val="superscript"/>
          <w:lang w:val="en-GB"/>
        </w:rPr>
        <w:t>th</w:t>
      </w:r>
      <w:r w:rsidRPr="002F3EF1">
        <w:rPr>
          <w:rFonts w:ascii="Times New Roman" w:hAnsi="Times New Roman"/>
          <w:iCs/>
          <w:sz w:val="24"/>
          <w:szCs w:val="24"/>
          <w:lang w:val="en-GB"/>
        </w:rPr>
        <w:t>-11</w:t>
      </w:r>
      <w:r w:rsidRPr="002F3EF1">
        <w:rPr>
          <w:rFonts w:ascii="Times New Roman" w:hAnsi="Times New Roman"/>
          <w:iCs/>
          <w:sz w:val="24"/>
          <w:szCs w:val="24"/>
          <w:vertAlign w:val="superscript"/>
          <w:lang w:val="en-GB"/>
        </w:rPr>
        <w:t>th</w:t>
      </w:r>
      <w:r w:rsidRPr="002F3EF1">
        <w:rPr>
          <w:rFonts w:ascii="Times New Roman" w:hAnsi="Times New Roman"/>
          <w:iCs/>
          <w:sz w:val="24"/>
          <w:szCs w:val="24"/>
          <w:lang w:val="en-GB"/>
        </w:rPr>
        <w:t xml:space="preserve"> 2018</w:t>
      </w:r>
      <w:r w:rsidRPr="00BC6101">
        <w:rPr>
          <w:rFonts w:ascii="Times New Roman" w:hAnsi="Times New Roman"/>
          <w:i/>
          <w:iCs/>
          <w:sz w:val="24"/>
          <w:szCs w:val="24"/>
          <w:lang w:val="en-GB"/>
        </w:rPr>
        <w:t>.</w:t>
      </w:r>
      <w:r w:rsidRPr="00BC6101">
        <w:rPr>
          <w:rFonts w:ascii="Times New Roman" w:hAnsi="Times New Roman"/>
          <w:sz w:val="24"/>
          <w:szCs w:val="24"/>
          <w:lang w:val="en-GB"/>
        </w:rPr>
        <w:t xml:space="preserve"> Leeds: SEDA Spring Teaching Learning and Assessment Conference.</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Byrne, M.,</w:t>
      </w:r>
      <w:r w:rsidR="00CF3C42" w:rsidRPr="00BC6101">
        <w:rPr>
          <w:rFonts w:ascii="Times New Roman" w:hAnsi="Times New Roman"/>
          <w:sz w:val="24"/>
          <w:szCs w:val="24"/>
          <w:lang w:val="en-GB"/>
        </w:rPr>
        <w:t xml:space="preserve"> Flood, B. (2005). A study of accounting students' motives, expectations and preparedness for higher education. </w:t>
      </w:r>
      <w:r w:rsidR="00CF3C42" w:rsidRPr="00BC6101">
        <w:rPr>
          <w:rFonts w:ascii="Times New Roman" w:hAnsi="Times New Roman"/>
          <w:i/>
          <w:iCs/>
          <w:sz w:val="24"/>
          <w:szCs w:val="24"/>
          <w:lang w:val="en-GB"/>
        </w:rPr>
        <w:t>Journal of Further and Higher Education, 29</w:t>
      </w:r>
      <w:r w:rsidR="00CF3C42" w:rsidRPr="00BC6101">
        <w:rPr>
          <w:rFonts w:ascii="Times New Roman" w:hAnsi="Times New Roman"/>
          <w:sz w:val="24"/>
          <w:szCs w:val="24"/>
          <w:lang w:val="en-GB"/>
        </w:rPr>
        <w:t>(2), 111-124.</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Ciasullo, M.V., Palumbo, R.,</w:t>
      </w:r>
      <w:r w:rsidR="00CF3C42" w:rsidRPr="00BC6101">
        <w:rPr>
          <w:rFonts w:ascii="Times New Roman" w:hAnsi="Times New Roman"/>
          <w:sz w:val="24"/>
          <w:szCs w:val="24"/>
          <w:lang w:val="en-GB"/>
        </w:rPr>
        <w:t xml:space="preserve"> Troisi, O. (2017). Reading Public Service Co-Production through the Lenses of Requisite Variety. </w:t>
      </w:r>
      <w:r w:rsidR="00CF3C42" w:rsidRPr="00BC6101">
        <w:rPr>
          <w:rFonts w:ascii="Times New Roman" w:hAnsi="Times New Roman"/>
          <w:i/>
          <w:iCs/>
          <w:sz w:val="24"/>
          <w:szCs w:val="24"/>
          <w:lang w:val="en-GB"/>
        </w:rPr>
        <w:t>International Journal of Business and Management, 12</w:t>
      </w:r>
      <w:r w:rsidR="00CF3C42" w:rsidRPr="00BC6101">
        <w:rPr>
          <w:rFonts w:ascii="Times New Roman" w:hAnsi="Times New Roman"/>
          <w:sz w:val="24"/>
          <w:szCs w:val="24"/>
          <w:lang w:val="en-GB"/>
        </w:rPr>
        <w:t>(2), 1-13.</w:t>
      </w:r>
    </w:p>
    <w:p w:rsidR="00CF3C42" w:rsidRPr="00FC28AB" w:rsidRDefault="00CF3C42" w:rsidP="005E48B4">
      <w:pPr>
        <w:pStyle w:val="Bibliographie"/>
        <w:spacing w:afterLines="60" w:line="240" w:lineRule="auto"/>
        <w:ind w:left="284" w:hanging="284"/>
        <w:jc w:val="both"/>
        <w:rPr>
          <w:rFonts w:ascii="Times New Roman" w:hAnsi="Times New Roman"/>
          <w:sz w:val="24"/>
          <w:szCs w:val="24"/>
        </w:rPr>
      </w:pPr>
      <w:r w:rsidRPr="00BC6101">
        <w:rPr>
          <w:rFonts w:ascii="Times New Roman" w:hAnsi="Times New Roman"/>
          <w:sz w:val="24"/>
          <w:szCs w:val="24"/>
          <w:lang w:val="en-GB"/>
        </w:rPr>
        <w:t>Coat</w:t>
      </w:r>
      <w:r w:rsidR="002F3EF1">
        <w:rPr>
          <w:rFonts w:ascii="Times New Roman" w:hAnsi="Times New Roman"/>
          <w:sz w:val="24"/>
          <w:szCs w:val="24"/>
          <w:lang w:val="en-GB"/>
        </w:rPr>
        <w:t>es, H., McCormick, A.</w:t>
      </w:r>
      <w:r w:rsidRPr="00BC6101">
        <w:rPr>
          <w:rFonts w:ascii="Times New Roman" w:hAnsi="Times New Roman"/>
          <w:sz w:val="24"/>
          <w:szCs w:val="24"/>
          <w:lang w:val="en-GB"/>
        </w:rPr>
        <w:t xml:space="preserve">C. (2014). </w:t>
      </w:r>
      <w:r w:rsidRPr="00BC6101">
        <w:rPr>
          <w:rFonts w:ascii="Times New Roman" w:hAnsi="Times New Roman"/>
          <w:i/>
          <w:iCs/>
          <w:sz w:val="24"/>
          <w:szCs w:val="24"/>
          <w:lang w:val="en-GB"/>
        </w:rPr>
        <w:t>Engaging University Students. International Insights from System-Wide Studies.</w:t>
      </w:r>
      <w:r w:rsidRPr="00BC6101">
        <w:rPr>
          <w:rFonts w:ascii="Times New Roman" w:hAnsi="Times New Roman"/>
          <w:sz w:val="24"/>
          <w:szCs w:val="24"/>
          <w:lang w:val="en-GB"/>
        </w:rPr>
        <w:t xml:space="preserve"> </w:t>
      </w:r>
      <w:r w:rsidRPr="00FC28AB">
        <w:rPr>
          <w:rFonts w:ascii="Times New Roman" w:hAnsi="Times New Roman"/>
          <w:sz w:val="24"/>
          <w:szCs w:val="24"/>
        </w:rPr>
        <w:t>Singapore: Springer.</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sidRPr="00FC28AB">
        <w:rPr>
          <w:rFonts w:ascii="Times New Roman" w:hAnsi="Times New Roman"/>
          <w:sz w:val="24"/>
          <w:szCs w:val="24"/>
        </w:rPr>
        <w:t>Díaz, M. J., Santaolalla, C.R.,</w:t>
      </w:r>
      <w:r w:rsidR="00CF3C42" w:rsidRPr="00FC28AB">
        <w:rPr>
          <w:rFonts w:ascii="Times New Roman" w:hAnsi="Times New Roman"/>
          <w:sz w:val="24"/>
          <w:szCs w:val="24"/>
        </w:rPr>
        <w:t xml:space="preserve"> González, A. G. (2010). </w:t>
      </w:r>
      <w:r w:rsidR="00CF3C42" w:rsidRPr="00BC6101">
        <w:rPr>
          <w:rFonts w:ascii="Times New Roman" w:hAnsi="Times New Roman"/>
          <w:sz w:val="24"/>
          <w:szCs w:val="24"/>
          <w:lang w:val="en-GB"/>
        </w:rPr>
        <w:t xml:space="preserve">Faculty attitudes and training needs to respond the new European Higher Education challenges. </w:t>
      </w:r>
      <w:r w:rsidR="00CF3C42" w:rsidRPr="00BC6101">
        <w:rPr>
          <w:rFonts w:ascii="Times New Roman" w:hAnsi="Times New Roman"/>
          <w:i/>
          <w:iCs/>
          <w:sz w:val="24"/>
          <w:szCs w:val="24"/>
          <w:lang w:val="en-GB"/>
        </w:rPr>
        <w:t>Higher Education, 60</w:t>
      </w:r>
      <w:r w:rsidR="00CF3C42" w:rsidRPr="00BC6101">
        <w:rPr>
          <w:rFonts w:ascii="Times New Roman" w:hAnsi="Times New Roman"/>
          <w:sz w:val="24"/>
          <w:szCs w:val="24"/>
          <w:lang w:val="en-GB"/>
        </w:rPr>
        <w:t>(1), 101-118.</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Díaz‐Méndez, M., Gummesson, E. (2012). Value co‐creation and university teaching quality: Consequences for the European Higher Education Area (EHEA). </w:t>
      </w:r>
      <w:r w:rsidRPr="00BC6101">
        <w:rPr>
          <w:rFonts w:ascii="Times New Roman" w:hAnsi="Times New Roman"/>
          <w:i/>
          <w:iCs/>
          <w:sz w:val="24"/>
          <w:szCs w:val="24"/>
          <w:lang w:val="en-GB"/>
        </w:rPr>
        <w:t>Journal of Service Management, 23</w:t>
      </w:r>
      <w:r w:rsidRPr="00BC6101">
        <w:rPr>
          <w:rFonts w:ascii="Times New Roman" w:hAnsi="Times New Roman"/>
          <w:sz w:val="24"/>
          <w:szCs w:val="24"/>
          <w:lang w:val="en-GB"/>
        </w:rPr>
        <w:t>(4), 571-592.</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Echeverri, P.,</w:t>
      </w:r>
      <w:r w:rsidR="00CF3C42" w:rsidRPr="00BC6101">
        <w:rPr>
          <w:rFonts w:ascii="Times New Roman" w:hAnsi="Times New Roman"/>
          <w:sz w:val="24"/>
          <w:szCs w:val="24"/>
          <w:lang w:val="en-GB"/>
        </w:rPr>
        <w:t xml:space="preserve"> Skålén, P. (2011). Co-creation and co-destruction: A practice-theory based study of interactive value formation. </w:t>
      </w:r>
      <w:r w:rsidR="00CF3C42" w:rsidRPr="00BC6101">
        <w:rPr>
          <w:rFonts w:ascii="Times New Roman" w:hAnsi="Times New Roman"/>
          <w:i/>
          <w:iCs/>
          <w:sz w:val="24"/>
          <w:szCs w:val="24"/>
          <w:lang w:val="en-GB"/>
        </w:rPr>
        <w:t>Marketing Theory, 11</w:t>
      </w:r>
      <w:r w:rsidR="00CF3C42" w:rsidRPr="00BC6101">
        <w:rPr>
          <w:rFonts w:ascii="Times New Roman" w:hAnsi="Times New Roman"/>
          <w:sz w:val="24"/>
          <w:szCs w:val="24"/>
          <w:lang w:val="en-GB"/>
        </w:rPr>
        <w:t>(3), 351-373.</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Grönroos, C. (2011). Value co-creation in service logic: A critical analysis. </w:t>
      </w:r>
      <w:r w:rsidRPr="00BC6101">
        <w:rPr>
          <w:rFonts w:ascii="Times New Roman" w:hAnsi="Times New Roman"/>
          <w:i/>
          <w:iCs/>
          <w:sz w:val="24"/>
          <w:szCs w:val="24"/>
          <w:lang w:val="en-GB"/>
        </w:rPr>
        <w:t>Marketing Theory, 11</w:t>
      </w:r>
      <w:r w:rsidRPr="00BC6101">
        <w:rPr>
          <w:rFonts w:ascii="Times New Roman" w:hAnsi="Times New Roman"/>
          <w:sz w:val="24"/>
          <w:szCs w:val="24"/>
          <w:lang w:val="en-GB"/>
        </w:rPr>
        <w:t>(3), 279-301.</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 xml:space="preserve">Hancock, D.R., </w:t>
      </w:r>
      <w:r w:rsidR="00CF3C42" w:rsidRPr="00BC6101">
        <w:rPr>
          <w:rFonts w:ascii="Times New Roman" w:hAnsi="Times New Roman"/>
          <w:sz w:val="24"/>
          <w:szCs w:val="24"/>
          <w:lang w:val="en-GB"/>
        </w:rPr>
        <w:t xml:space="preserve">Algozzine, B. (2017). </w:t>
      </w:r>
      <w:r w:rsidR="00CF3C42" w:rsidRPr="00BC6101">
        <w:rPr>
          <w:rFonts w:ascii="Times New Roman" w:hAnsi="Times New Roman"/>
          <w:i/>
          <w:iCs/>
          <w:sz w:val="24"/>
          <w:szCs w:val="24"/>
          <w:lang w:val="en-GB"/>
        </w:rPr>
        <w:t>Doing Case Study Research: A Practical Guide for Beginning Researchers.</w:t>
      </w:r>
      <w:r w:rsidR="00CF3C42" w:rsidRPr="00BC6101">
        <w:rPr>
          <w:rFonts w:ascii="Times New Roman" w:hAnsi="Times New Roman"/>
          <w:sz w:val="24"/>
          <w:szCs w:val="24"/>
          <w:lang w:val="en-GB"/>
        </w:rPr>
        <w:t xml:space="preserve"> New York, NY: Teachers College Press.</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Hau, L.N., Thuy, P.</w:t>
      </w:r>
      <w:r w:rsidR="00CF3C42" w:rsidRPr="00BC6101">
        <w:rPr>
          <w:rFonts w:ascii="Times New Roman" w:hAnsi="Times New Roman"/>
          <w:sz w:val="24"/>
          <w:szCs w:val="24"/>
          <w:lang w:val="en-GB"/>
        </w:rPr>
        <w:t xml:space="preserve">N. (2016). Customer participation to co-create value in human transformative services: a study of higher education and health care services. </w:t>
      </w:r>
      <w:r w:rsidR="00CF3C42" w:rsidRPr="00BC6101">
        <w:rPr>
          <w:rFonts w:ascii="Times New Roman" w:hAnsi="Times New Roman"/>
          <w:i/>
          <w:iCs/>
          <w:sz w:val="24"/>
          <w:szCs w:val="24"/>
          <w:lang w:val="en-GB"/>
        </w:rPr>
        <w:t>Service Business, 10</w:t>
      </w:r>
      <w:r w:rsidR="00CF3C42" w:rsidRPr="00BC6101">
        <w:rPr>
          <w:rFonts w:ascii="Times New Roman" w:hAnsi="Times New Roman"/>
          <w:sz w:val="24"/>
          <w:szCs w:val="24"/>
          <w:lang w:val="en-GB"/>
        </w:rPr>
        <w:t>(3), 603–628.</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Hilton, T., Hughes, T.,</w:t>
      </w:r>
      <w:r w:rsidR="00CF3C42" w:rsidRPr="00BC6101">
        <w:rPr>
          <w:rFonts w:ascii="Times New Roman" w:hAnsi="Times New Roman"/>
          <w:sz w:val="24"/>
          <w:szCs w:val="24"/>
          <w:lang w:val="en-GB"/>
        </w:rPr>
        <w:t xml:space="preserve"> Chalcraft, D. (2012). Service co-creation and value realisation. </w:t>
      </w:r>
      <w:r w:rsidR="00CF3C42" w:rsidRPr="00BC6101">
        <w:rPr>
          <w:rFonts w:ascii="Times New Roman" w:hAnsi="Times New Roman"/>
          <w:i/>
          <w:iCs/>
          <w:sz w:val="24"/>
          <w:szCs w:val="24"/>
          <w:lang w:val="en-GB"/>
        </w:rPr>
        <w:t>Journal of Marketing Management, 28</w:t>
      </w:r>
      <w:r w:rsidR="00CF3C42" w:rsidRPr="00BC6101">
        <w:rPr>
          <w:rFonts w:ascii="Times New Roman" w:hAnsi="Times New Roman"/>
          <w:sz w:val="24"/>
          <w:szCs w:val="24"/>
          <w:lang w:val="en-GB"/>
        </w:rPr>
        <w:t>(13/14), 1504-1519.</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Jakobsen, M.,</w:t>
      </w:r>
      <w:r w:rsidR="00CF3C42" w:rsidRPr="00BC6101">
        <w:rPr>
          <w:rFonts w:ascii="Times New Roman" w:hAnsi="Times New Roman"/>
          <w:sz w:val="24"/>
          <w:szCs w:val="24"/>
          <w:lang w:val="en-GB"/>
        </w:rPr>
        <w:t xml:space="preserve"> Andersen, S. C. (2013). Coproduction and Equity in Public Service Delivery. </w:t>
      </w:r>
      <w:r w:rsidR="00CF3C42" w:rsidRPr="00BC6101">
        <w:rPr>
          <w:rFonts w:ascii="Times New Roman" w:hAnsi="Times New Roman"/>
          <w:i/>
          <w:iCs/>
          <w:sz w:val="24"/>
          <w:szCs w:val="24"/>
          <w:lang w:val="en-GB"/>
        </w:rPr>
        <w:t>Public Administration Review, 73</w:t>
      </w:r>
      <w:r w:rsidR="00CF3C42" w:rsidRPr="00BC6101">
        <w:rPr>
          <w:rFonts w:ascii="Times New Roman" w:hAnsi="Times New Roman"/>
          <w:sz w:val="24"/>
          <w:szCs w:val="24"/>
          <w:lang w:val="en-GB"/>
        </w:rPr>
        <w:t>(5), 704-713.</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Jungblut, J., Vukasovic, M.,</w:t>
      </w:r>
      <w:r w:rsidR="00CF3C42" w:rsidRPr="00BC6101">
        <w:rPr>
          <w:rFonts w:ascii="Times New Roman" w:hAnsi="Times New Roman"/>
          <w:sz w:val="24"/>
          <w:szCs w:val="24"/>
          <w:lang w:val="en-GB"/>
        </w:rPr>
        <w:t xml:space="preserve"> Stensaker, B. (2015). Student perspectives on quality in higher education. </w:t>
      </w:r>
      <w:r w:rsidR="00CF3C42" w:rsidRPr="00BC6101">
        <w:rPr>
          <w:rFonts w:ascii="Times New Roman" w:hAnsi="Times New Roman"/>
          <w:i/>
          <w:iCs/>
          <w:sz w:val="24"/>
          <w:szCs w:val="24"/>
          <w:lang w:val="en-GB"/>
        </w:rPr>
        <w:t>European Journal of Higher Education, 5</w:t>
      </w:r>
      <w:r w:rsidR="00CF3C42" w:rsidRPr="00BC6101">
        <w:rPr>
          <w:rFonts w:ascii="Times New Roman" w:hAnsi="Times New Roman"/>
          <w:sz w:val="24"/>
          <w:szCs w:val="24"/>
          <w:lang w:val="en-GB"/>
        </w:rPr>
        <w:t>(2), 157-180.</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lastRenderedPageBreak/>
        <w:t>Kalfa, S.,</w:t>
      </w:r>
      <w:r w:rsidR="00CF3C42" w:rsidRPr="00BC6101">
        <w:rPr>
          <w:rFonts w:ascii="Times New Roman" w:hAnsi="Times New Roman"/>
          <w:sz w:val="24"/>
          <w:szCs w:val="24"/>
          <w:lang w:val="en-GB"/>
        </w:rPr>
        <w:t xml:space="preserve"> Taksa, L. (2017). Employability, managerialism, and performativity in higher education: a relational perspective. </w:t>
      </w:r>
      <w:r w:rsidR="00CF3C42" w:rsidRPr="00BC6101">
        <w:rPr>
          <w:rFonts w:ascii="Times New Roman" w:hAnsi="Times New Roman"/>
          <w:i/>
          <w:iCs/>
          <w:sz w:val="24"/>
          <w:szCs w:val="24"/>
          <w:lang w:val="en-GB"/>
        </w:rPr>
        <w:t>Higher Education, 74</w:t>
      </w:r>
      <w:r w:rsidR="00CF3C42" w:rsidRPr="00BC6101">
        <w:rPr>
          <w:rFonts w:ascii="Times New Roman" w:hAnsi="Times New Roman"/>
          <w:sz w:val="24"/>
          <w:szCs w:val="24"/>
          <w:lang w:val="en-GB"/>
        </w:rPr>
        <w:t>(4), 687–699.</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Klemenčič, M. (2017). From Student Engagement to Student Agency: Conceptual Considerations of European Policies on Student-Centered Learning in Higher Education. </w:t>
      </w:r>
      <w:r w:rsidRPr="00BC6101">
        <w:rPr>
          <w:rFonts w:ascii="Times New Roman" w:hAnsi="Times New Roman"/>
          <w:i/>
          <w:iCs/>
          <w:sz w:val="24"/>
          <w:szCs w:val="24"/>
          <w:lang w:val="en-GB"/>
        </w:rPr>
        <w:t>Higher Education Policy, 30</w:t>
      </w:r>
      <w:r w:rsidRPr="00BC6101">
        <w:rPr>
          <w:rFonts w:ascii="Times New Roman" w:hAnsi="Times New Roman"/>
          <w:sz w:val="24"/>
          <w:szCs w:val="24"/>
          <w:lang w:val="en-GB"/>
        </w:rPr>
        <w:t>(1), 69–85.</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Kok, S.K.,</w:t>
      </w:r>
      <w:r w:rsidR="00CF3C42" w:rsidRPr="00BC6101">
        <w:rPr>
          <w:rFonts w:ascii="Times New Roman" w:hAnsi="Times New Roman"/>
          <w:sz w:val="24"/>
          <w:szCs w:val="24"/>
          <w:lang w:val="en-GB"/>
        </w:rPr>
        <w:t xml:space="preserve"> McDonald, C. (2017). Underpinning excellence in higher education – an investigation into the leadership, governance and management behaviours of high-performing academic departments. </w:t>
      </w:r>
      <w:r w:rsidR="00CF3C42" w:rsidRPr="00BC6101">
        <w:rPr>
          <w:rFonts w:ascii="Times New Roman" w:hAnsi="Times New Roman"/>
          <w:i/>
          <w:iCs/>
          <w:sz w:val="24"/>
          <w:szCs w:val="24"/>
          <w:lang w:val="en-GB"/>
        </w:rPr>
        <w:t>Studies in Higher Education, 42</w:t>
      </w:r>
      <w:r w:rsidR="00CF3C42" w:rsidRPr="00BC6101">
        <w:rPr>
          <w:rFonts w:ascii="Times New Roman" w:hAnsi="Times New Roman"/>
          <w:sz w:val="24"/>
          <w:szCs w:val="24"/>
          <w:lang w:val="en-GB"/>
        </w:rPr>
        <w:t>(2), 210-231.</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Martens, S.E., Meeuwissen, S.N., Dolmans, D.H., Bovill, C., Könings, K.</w:t>
      </w:r>
      <w:r w:rsidR="00CF3C42" w:rsidRPr="00BC6101">
        <w:rPr>
          <w:rFonts w:ascii="Times New Roman" w:hAnsi="Times New Roman"/>
          <w:sz w:val="24"/>
          <w:szCs w:val="24"/>
          <w:lang w:val="en-GB"/>
        </w:rPr>
        <w:t xml:space="preserve">D. (2019). Student participation in the design of learning and teaching: Disentangling the terminology and approaches. </w:t>
      </w:r>
      <w:r w:rsidR="00CF3C42" w:rsidRPr="00BC6101">
        <w:rPr>
          <w:rFonts w:ascii="Times New Roman" w:hAnsi="Times New Roman"/>
          <w:i/>
          <w:iCs/>
          <w:sz w:val="24"/>
          <w:szCs w:val="24"/>
          <w:lang w:val="en-GB"/>
        </w:rPr>
        <w:t>Medical Teacher</w:t>
      </w:r>
      <w:r w:rsidR="00CF3C42" w:rsidRPr="00BC6101">
        <w:rPr>
          <w:rFonts w:ascii="Times New Roman" w:hAnsi="Times New Roman"/>
          <w:sz w:val="24"/>
          <w:szCs w:val="24"/>
          <w:lang w:val="en-GB"/>
        </w:rPr>
        <w:t>, Published on-line ahead of print on May, 26</w:t>
      </w:r>
      <w:r w:rsidR="00CF3C42" w:rsidRPr="002F3EF1">
        <w:rPr>
          <w:rFonts w:ascii="Times New Roman" w:hAnsi="Times New Roman"/>
          <w:sz w:val="24"/>
          <w:szCs w:val="24"/>
          <w:vertAlign w:val="superscript"/>
          <w:lang w:val="en-GB"/>
        </w:rPr>
        <w:t>th</w:t>
      </w:r>
      <w:r w:rsidR="00CF3C42" w:rsidRPr="00BC6101">
        <w:rPr>
          <w:rFonts w:ascii="Times New Roman" w:hAnsi="Times New Roman"/>
          <w:sz w:val="24"/>
          <w:szCs w:val="24"/>
          <w:lang w:val="en-GB"/>
        </w:rPr>
        <w:t xml:space="preserve"> 2019. Doi: 10.1080/0142159X.2019.1615610.</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Meijer, A. (2016). Coproduction as a structural transformation of the public sector. </w:t>
      </w:r>
      <w:r w:rsidRPr="00BC6101">
        <w:rPr>
          <w:rFonts w:ascii="Times New Roman" w:hAnsi="Times New Roman"/>
          <w:i/>
          <w:iCs/>
          <w:sz w:val="24"/>
          <w:szCs w:val="24"/>
          <w:lang w:val="en-GB"/>
        </w:rPr>
        <w:t>International Journal of Public Sector Management, 29</w:t>
      </w:r>
      <w:r w:rsidRPr="00BC6101">
        <w:rPr>
          <w:rFonts w:ascii="Times New Roman" w:hAnsi="Times New Roman"/>
          <w:sz w:val="24"/>
          <w:szCs w:val="24"/>
          <w:lang w:val="en-GB"/>
        </w:rPr>
        <w:t>(6), 596-611.</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Mercer-Mapstone, L.,</w:t>
      </w:r>
      <w:r w:rsidR="002F3EF1">
        <w:rPr>
          <w:rFonts w:ascii="Times New Roman" w:hAnsi="Times New Roman"/>
          <w:sz w:val="24"/>
          <w:szCs w:val="24"/>
          <w:lang w:val="en-GB"/>
        </w:rPr>
        <w:t xml:space="preserve"> Dvorakova, S. L., Matthews, K.</w:t>
      </w:r>
      <w:r w:rsidRPr="00BC6101">
        <w:rPr>
          <w:rFonts w:ascii="Times New Roman" w:hAnsi="Times New Roman"/>
          <w:sz w:val="24"/>
          <w:szCs w:val="24"/>
          <w:lang w:val="en-GB"/>
        </w:rPr>
        <w:t xml:space="preserve">E., Abbot, S., Cheng, B., Felten, P., </w:t>
      </w:r>
      <w:r w:rsidR="002F3EF1" w:rsidRPr="002F3EF1">
        <w:rPr>
          <w:rFonts w:ascii="Times New Roman" w:hAnsi="Times New Roman"/>
          <w:sz w:val="24"/>
          <w:szCs w:val="24"/>
          <w:lang w:val="en-GB"/>
        </w:rPr>
        <w:t>Knorr, K., Marquis, E., Shammas, R.</w:t>
      </w:r>
      <w:r w:rsidR="002F3EF1">
        <w:rPr>
          <w:rFonts w:ascii="Times New Roman" w:hAnsi="Times New Roman"/>
          <w:sz w:val="24"/>
          <w:szCs w:val="24"/>
          <w:lang w:val="en-GB"/>
        </w:rPr>
        <w:t>,</w:t>
      </w:r>
      <w:r w:rsidRPr="00BC6101">
        <w:rPr>
          <w:rFonts w:ascii="Times New Roman" w:hAnsi="Times New Roman"/>
          <w:sz w:val="24"/>
          <w:szCs w:val="24"/>
          <w:lang w:val="en-GB"/>
        </w:rPr>
        <w:t xml:space="preserve"> Swaim, K. (2017). A Systematic Literature Review of Students as Partners in Higher Education. </w:t>
      </w:r>
      <w:r w:rsidRPr="00BC6101">
        <w:rPr>
          <w:rFonts w:ascii="Times New Roman" w:hAnsi="Times New Roman"/>
          <w:i/>
          <w:iCs/>
          <w:sz w:val="24"/>
          <w:szCs w:val="24"/>
          <w:lang w:val="en-GB"/>
        </w:rPr>
        <w:t>International Journal of Students as Partners, 1</w:t>
      </w:r>
      <w:r w:rsidRPr="00BC6101">
        <w:rPr>
          <w:rFonts w:ascii="Times New Roman" w:hAnsi="Times New Roman"/>
          <w:sz w:val="24"/>
          <w:szCs w:val="24"/>
          <w:lang w:val="en-GB"/>
        </w:rPr>
        <w:t>(1), 1-23.</w:t>
      </w:r>
    </w:p>
    <w:p w:rsidR="00CF3C42" w:rsidRPr="00BC6101" w:rsidRDefault="002F3EF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Nair, C.S., Li, J., Cai, L.</w:t>
      </w:r>
      <w:r w:rsidR="00CF3C42" w:rsidRPr="00BC6101">
        <w:rPr>
          <w:rFonts w:ascii="Times New Roman" w:hAnsi="Times New Roman"/>
          <w:sz w:val="24"/>
          <w:szCs w:val="24"/>
          <w:lang w:val="en-GB"/>
        </w:rPr>
        <w:t xml:space="preserve">K. (2015). Academics’ feedback on the quality of appraisal evidence. </w:t>
      </w:r>
      <w:r w:rsidR="00CF3C42" w:rsidRPr="00BC6101">
        <w:rPr>
          <w:rFonts w:ascii="Times New Roman" w:hAnsi="Times New Roman"/>
          <w:i/>
          <w:iCs/>
          <w:sz w:val="24"/>
          <w:szCs w:val="24"/>
          <w:lang w:val="en-GB"/>
        </w:rPr>
        <w:t>Quality Assurance in Education, 23</w:t>
      </w:r>
      <w:r w:rsidR="00CF3C42" w:rsidRPr="00BC6101">
        <w:rPr>
          <w:rFonts w:ascii="Times New Roman" w:hAnsi="Times New Roman"/>
          <w:sz w:val="24"/>
          <w:szCs w:val="24"/>
          <w:lang w:val="en-GB"/>
        </w:rPr>
        <w:t>(3), 279-294.</w:t>
      </w:r>
    </w:p>
    <w:p w:rsidR="00CF3C42" w:rsidRPr="00FC28AB" w:rsidRDefault="002F3EF1" w:rsidP="005E48B4">
      <w:pPr>
        <w:pStyle w:val="Bibliographie"/>
        <w:spacing w:afterLines="60" w:line="240" w:lineRule="auto"/>
        <w:ind w:left="284" w:hanging="284"/>
        <w:jc w:val="both"/>
        <w:rPr>
          <w:rFonts w:ascii="Times New Roman" w:hAnsi="Times New Roman"/>
          <w:sz w:val="24"/>
          <w:szCs w:val="24"/>
        </w:rPr>
      </w:pPr>
      <w:r>
        <w:rPr>
          <w:rFonts w:ascii="Times New Roman" w:hAnsi="Times New Roman"/>
          <w:sz w:val="24"/>
          <w:szCs w:val="24"/>
          <w:lang w:val="en-GB"/>
        </w:rPr>
        <w:t>Ordanini, A.,</w:t>
      </w:r>
      <w:r w:rsidR="00CF3C42" w:rsidRPr="00BC6101">
        <w:rPr>
          <w:rFonts w:ascii="Times New Roman" w:hAnsi="Times New Roman"/>
          <w:sz w:val="24"/>
          <w:szCs w:val="24"/>
          <w:lang w:val="en-GB"/>
        </w:rPr>
        <w:t xml:space="preserve"> Pasini, P. (2008). Service co-production and value co-creation: The case for a service-oriented architecture (SOA). </w:t>
      </w:r>
      <w:r w:rsidR="00CF3C42" w:rsidRPr="00FC28AB">
        <w:rPr>
          <w:rFonts w:ascii="Times New Roman" w:hAnsi="Times New Roman"/>
          <w:i/>
          <w:iCs/>
          <w:sz w:val="24"/>
          <w:szCs w:val="24"/>
        </w:rPr>
        <w:t>European Management Journal</w:t>
      </w:r>
      <w:r w:rsidR="00CF3C42" w:rsidRPr="00FC28AB">
        <w:rPr>
          <w:rFonts w:ascii="Times New Roman" w:hAnsi="Times New Roman"/>
          <w:sz w:val="24"/>
          <w:szCs w:val="24"/>
        </w:rPr>
        <w:t>,</w:t>
      </w:r>
      <w:r w:rsidRPr="00FC28AB">
        <w:rPr>
          <w:rFonts w:ascii="Times New Roman" w:hAnsi="Times New Roman"/>
          <w:sz w:val="24"/>
          <w:szCs w:val="24"/>
        </w:rPr>
        <w:t xml:space="preserve"> </w:t>
      </w:r>
      <w:r w:rsidRPr="00FC28AB">
        <w:rPr>
          <w:rFonts w:ascii="Times New Roman" w:hAnsi="Times New Roman"/>
          <w:i/>
          <w:sz w:val="24"/>
          <w:szCs w:val="24"/>
        </w:rPr>
        <w:t>26</w:t>
      </w:r>
      <w:r w:rsidRPr="00FC28AB">
        <w:rPr>
          <w:rFonts w:ascii="Times New Roman" w:hAnsi="Times New Roman"/>
          <w:sz w:val="24"/>
          <w:szCs w:val="24"/>
        </w:rPr>
        <w:t>(5),</w:t>
      </w:r>
      <w:r w:rsidR="00CF3C42" w:rsidRPr="00FC28AB">
        <w:rPr>
          <w:rFonts w:ascii="Times New Roman" w:hAnsi="Times New Roman"/>
          <w:sz w:val="24"/>
          <w:szCs w:val="24"/>
        </w:rPr>
        <w:t xml:space="preserve"> 289-297.</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FC28AB">
        <w:rPr>
          <w:rFonts w:ascii="Times New Roman" w:hAnsi="Times New Roman"/>
          <w:sz w:val="24"/>
          <w:szCs w:val="24"/>
        </w:rPr>
        <w:t>Palumbo, R., Vezzosi, S., Picciolli, P., Landini, A., Annar</w:t>
      </w:r>
      <w:r w:rsidR="002F3EF1" w:rsidRPr="00FC28AB">
        <w:rPr>
          <w:rFonts w:ascii="Times New Roman" w:hAnsi="Times New Roman"/>
          <w:sz w:val="24"/>
          <w:szCs w:val="24"/>
        </w:rPr>
        <w:t xml:space="preserve">umma, C., </w:t>
      </w:r>
      <w:r w:rsidRPr="00FC28AB">
        <w:rPr>
          <w:rFonts w:ascii="Times New Roman" w:hAnsi="Times New Roman"/>
          <w:sz w:val="24"/>
          <w:szCs w:val="24"/>
        </w:rPr>
        <w:t xml:space="preserve">Manna, R. (2018). </w:t>
      </w:r>
      <w:r w:rsidRPr="00BC6101">
        <w:rPr>
          <w:rFonts w:ascii="Times New Roman" w:hAnsi="Times New Roman"/>
          <w:sz w:val="24"/>
          <w:szCs w:val="24"/>
          <w:lang w:val="en-GB"/>
        </w:rPr>
        <w:t xml:space="preserve">Fostering organizational change through co-production. Insights from an Italian experience. </w:t>
      </w:r>
      <w:r w:rsidRPr="00BC6101">
        <w:rPr>
          <w:rFonts w:ascii="Times New Roman" w:hAnsi="Times New Roman"/>
          <w:i/>
          <w:iCs/>
          <w:sz w:val="24"/>
          <w:szCs w:val="24"/>
          <w:lang w:val="en-GB"/>
        </w:rPr>
        <w:t>International Review on Public and Nonprofit Marketing, 15</w:t>
      </w:r>
      <w:r w:rsidRPr="00BC6101">
        <w:rPr>
          <w:rFonts w:ascii="Times New Roman" w:hAnsi="Times New Roman"/>
          <w:sz w:val="24"/>
          <w:szCs w:val="24"/>
          <w:lang w:val="en-GB"/>
        </w:rPr>
        <w:t>(3), 371-391.</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Plé, L., </w:t>
      </w:r>
      <w:r w:rsidR="002F3EF1">
        <w:rPr>
          <w:rFonts w:ascii="Times New Roman" w:hAnsi="Times New Roman"/>
          <w:sz w:val="24"/>
          <w:szCs w:val="24"/>
          <w:lang w:val="en-GB"/>
        </w:rPr>
        <w:t>Cáceres, R.</w:t>
      </w:r>
      <w:r w:rsidRPr="00BC6101">
        <w:rPr>
          <w:rFonts w:ascii="Times New Roman" w:hAnsi="Times New Roman"/>
          <w:sz w:val="24"/>
          <w:szCs w:val="24"/>
          <w:lang w:val="en-GB"/>
        </w:rPr>
        <w:t xml:space="preserve">C. (2010). Not always co-creation: Introducing interactional co-destruction of value in service-dominant logic. </w:t>
      </w:r>
      <w:r w:rsidRPr="00BC6101">
        <w:rPr>
          <w:rFonts w:ascii="Times New Roman" w:hAnsi="Times New Roman"/>
          <w:i/>
          <w:iCs/>
          <w:sz w:val="24"/>
          <w:szCs w:val="24"/>
          <w:lang w:val="en-GB"/>
        </w:rPr>
        <w:t>Journal of Services Marketing, 24</w:t>
      </w:r>
      <w:r w:rsidRPr="00BC6101">
        <w:rPr>
          <w:rFonts w:ascii="Times New Roman" w:hAnsi="Times New Roman"/>
          <w:sz w:val="24"/>
          <w:szCs w:val="24"/>
          <w:lang w:val="en-GB"/>
        </w:rPr>
        <w:t>(6), 430-437.</w:t>
      </w:r>
    </w:p>
    <w:p w:rsidR="00CF3C42" w:rsidRPr="00BC6101" w:rsidRDefault="00BC610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 xml:space="preserve">Ranjan, K. R., </w:t>
      </w:r>
      <w:r w:rsidR="00CF3C42" w:rsidRPr="00BC6101">
        <w:rPr>
          <w:rFonts w:ascii="Times New Roman" w:hAnsi="Times New Roman"/>
          <w:sz w:val="24"/>
          <w:szCs w:val="24"/>
          <w:lang w:val="en-GB"/>
        </w:rPr>
        <w:t xml:space="preserve">Read, S. (2016). Value co-creation: concept and measurement. </w:t>
      </w:r>
      <w:r w:rsidR="00CF3C42" w:rsidRPr="00BC6101">
        <w:rPr>
          <w:rFonts w:ascii="Times New Roman" w:hAnsi="Times New Roman"/>
          <w:i/>
          <w:iCs/>
          <w:sz w:val="24"/>
          <w:szCs w:val="24"/>
          <w:lang w:val="en-GB"/>
        </w:rPr>
        <w:t>Journal of the Academy of Marketing Science, 44</w:t>
      </w:r>
      <w:r w:rsidR="00CF3C42" w:rsidRPr="00BC6101">
        <w:rPr>
          <w:rFonts w:ascii="Times New Roman" w:hAnsi="Times New Roman"/>
          <w:sz w:val="24"/>
          <w:szCs w:val="24"/>
          <w:lang w:val="en-GB"/>
        </w:rPr>
        <w:t>(3), 290</w:t>
      </w:r>
      <w:r>
        <w:rPr>
          <w:rFonts w:ascii="Times New Roman" w:hAnsi="Times New Roman"/>
          <w:sz w:val="24"/>
          <w:szCs w:val="24"/>
          <w:lang w:val="en-GB"/>
        </w:rPr>
        <w:t>-</w:t>
      </w:r>
      <w:r w:rsidR="00CF3C42" w:rsidRPr="00BC6101">
        <w:rPr>
          <w:rFonts w:ascii="Times New Roman" w:hAnsi="Times New Roman"/>
          <w:sz w:val="24"/>
          <w:szCs w:val="24"/>
          <w:lang w:val="en-GB"/>
        </w:rPr>
        <w:t>315.</w:t>
      </w:r>
    </w:p>
    <w:p w:rsidR="00CF3C42" w:rsidRPr="00BC6101" w:rsidRDefault="00BC6101" w:rsidP="005E48B4">
      <w:pPr>
        <w:pStyle w:val="Bibliographie"/>
        <w:spacing w:afterLines="60" w:line="240" w:lineRule="auto"/>
        <w:ind w:left="284" w:hanging="284"/>
        <w:jc w:val="both"/>
        <w:rPr>
          <w:rFonts w:ascii="Times New Roman" w:hAnsi="Times New Roman"/>
          <w:sz w:val="24"/>
          <w:szCs w:val="24"/>
          <w:lang w:val="en-GB"/>
        </w:rPr>
      </w:pPr>
      <w:r>
        <w:rPr>
          <w:rFonts w:ascii="Times New Roman" w:hAnsi="Times New Roman"/>
          <w:sz w:val="24"/>
          <w:szCs w:val="24"/>
          <w:lang w:val="en-GB"/>
        </w:rPr>
        <w:t>Shaw, C.,</w:t>
      </w:r>
      <w:r w:rsidR="00CF3C42" w:rsidRPr="00BC6101">
        <w:rPr>
          <w:rFonts w:ascii="Times New Roman" w:hAnsi="Times New Roman"/>
          <w:sz w:val="24"/>
          <w:szCs w:val="24"/>
          <w:lang w:val="en-GB"/>
        </w:rPr>
        <w:t xml:space="preserve"> Lowe, T. (2017). The Student Participation Map: A tool to map student participations, engagements, opportunities and extra-curricular activities across a Higher Education Institution. </w:t>
      </w:r>
      <w:r w:rsidR="00CF3C42" w:rsidRPr="00BC6101">
        <w:rPr>
          <w:rFonts w:ascii="Times New Roman" w:hAnsi="Times New Roman"/>
          <w:i/>
          <w:iCs/>
          <w:sz w:val="24"/>
          <w:szCs w:val="24"/>
          <w:lang w:val="en-GB"/>
        </w:rPr>
        <w:t>Dialogue: Journal of Learning and Teaching, 1</w:t>
      </w:r>
      <w:r w:rsidR="00CF3C42" w:rsidRPr="00BC6101">
        <w:rPr>
          <w:rFonts w:ascii="Times New Roman" w:hAnsi="Times New Roman"/>
          <w:sz w:val="24"/>
          <w:szCs w:val="24"/>
          <w:lang w:val="en-GB"/>
        </w:rPr>
        <w:t>(1), 45-50.</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Verschuere, B., Brandsen, T., Pestoff, V. (2012). Co-production: The State of the Art in Research and the Future Agenda. </w:t>
      </w:r>
      <w:r w:rsidRPr="00BC6101">
        <w:rPr>
          <w:rFonts w:ascii="Times New Roman" w:hAnsi="Times New Roman"/>
          <w:i/>
          <w:iCs/>
          <w:sz w:val="24"/>
          <w:szCs w:val="24"/>
          <w:lang w:val="en-GB"/>
        </w:rPr>
        <w:t>Voluntas: International Journal of Voluntary and Nonprofit Organizations, 23</w:t>
      </w:r>
      <w:r w:rsidRPr="00BC6101">
        <w:rPr>
          <w:rFonts w:ascii="Times New Roman" w:hAnsi="Times New Roman"/>
          <w:sz w:val="24"/>
          <w:szCs w:val="24"/>
          <w:lang w:val="en-GB"/>
        </w:rPr>
        <w:t>(4), 1083</w:t>
      </w:r>
      <w:r w:rsidR="00BC6101">
        <w:rPr>
          <w:rFonts w:ascii="Times New Roman" w:hAnsi="Times New Roman"/>
          <w:sz w:val="24"/>
          <w:szCs w:val="24"/>
          <w:lang w:val="en-GB"/>
        </w:rPr>
        <w:t>-</w:t>
      </w:r>
      <w:r w:rsidRPr="00BC6101">
        <w:rPr>
          <w:rFonts w:ascii="Times New Roman" w:hAnsi="Times New Roman"/>
          <w:sz w:val="24"/>
          <w:szCs w:val="24"/>
          <w:lang w:val="en-GB"/>
        </w:rPr>
        <w:t>1101.</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Voss, R., Gruber, T., &amp; Szmiginc, I. (2007). Service quality in higher education: The role of student expectations. </w:t>
      </w:r>
      <w:r w:rsidRPr="00BC6101">
        <w:rPr>
          <w:rFonts w:ascii="Times New Roman" w:hAnsi="Times New Roman"/>
          <w:i/>
          <w:iCs/>
          <w:sz w:val="24"/>
          <w:szCs w:val="24"/>
          <w:lang w:val="en-GB"/>
        </w:rPr>
        <w:t>Journal of Business Research</w:t>
      </w:r>
      <w:r w:rsidRPr="00BC6101">
        <w:rPr>
          <w:rFonts w:ascii="Times New Roman" w:hAnsi="Times New Roman"/>
          <w:sz w:val="24"/>
          <w:szCs w:val="24"/>
          <w:lang w:val="en-GB"/>
        </w:rPr>
        <w:t>,</w:t>
      </w:r>
      <w:r w:rsidR="00BC6101">
        <w:rPr>
          <w:rFonts w:ascii="Times New Roman" w:hAnsi="Times New Roman"/>
          <w:sz w:val="24"/>
          <w:szCs w:val="24"/>
          <w:lang w:val="en-GB"/>
        </w:rPr>
        <w:t xml:space="preserve"> </w:t>
      </w:r>
      <w:r w:rsidR="00BC6101">
        <w:rPr>
          <w:rFonts w:ascii="Times New Roman" w:hAnsi="Times New Roman"/>
          <w:i/>
          <w:sz w:val="24"/>
          <w:szCs w:val="24"/>
          <w:lang w:val="en-GB"/>
        </w:rPr>
        <w:t>60</w:t>
      </w:r>
      <w:r w:rsidR="00BC6101">
        <w:rPr>
          <w:rFonts w:ascii="Times New Roman" w:hAnsi="Times New Roman"/>
          <w:sz w:val="24"/>
          <w:szCs w:val="24"/>
          <w:lang w:val="en-GB"/>
        </w:rPr>
        <w:t>(9),</w:t>
      </w:r>
      <w:r w:rsidRPr="00BC6101">
        <w:rPr>
          <w:rFonts w:ascii="Times New Roman" w:hAnsi="Times New Roman"/>
          <w:sz w:val="24"/>
          <w:szCs w:val="24"/>
          <w:lang w:val="en-GB"/>
        </w:rPr>
        <w:t xml:space="preserve"> 949-959.</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 xml:space="preserve">Yazan, B. (2015). Three Approaches to Case Study Methods in Education: Yin, Merriam, and Stake. </w:t>
      </w:r>
      <w:r w:rsidRPr="00BC6101">
        <w:rPr>
          <w:rFonts w:ascii="Times New Roman" w:hAnsi="Times New Roman"/>
          <w:i/>
          <w:iCs/>
          <w:sz w:val="24"/>
          <w:szCs w:val="24"/>
          <w:lang w:val="en-GB"/>
        </w:rPr>
        <w:t>The Qualitative Report, 20</w:t>
      </w:r>
      <w:r w:rsidRPr="00BC6101">
        <w:rPr>
          <w:rFonts w:ascii="Times New Roman" w:hAnsi="Times New Roman"/>
          <w:sz w:val="24"/>
          <w:szCs w:val="24"/>
          <w:lang w:val="en-GB"/>
        </w:rPr>
        <w:t>(2), 134-152.</w:t>
      </w:r>
    </w:p>
    <w:p w:rsidR="00CF3C42" w:rsidRPr="00BC6101" w:rsidRDefault="00CF3C42" w:rsidP="005E48B4">
      <w:pPr>
        <w:pStyle w:val="Bibliographie"/>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t>Yin, R</w:t>
      </w:r>
      <w:r w:rsidR="00BC6101">
        <w:rPr>
          <w:rFonts w:ascii="Times New Roman" w:hAnsi="Times New Roman"/>
          <w:sz w:val="24"/>
          <w:szCs w:val="24"/>
          <w:lang w:val="en-GB"/>
        </w:rPr>
        <w:t>.</w:t>
      </w:r>
      <w:r w:rsidRPr="00BC6101">
        <w:rPr>
          <w:rFonts w:ascii="Times New Roman" w:hAnsi="Times New Roman"/>
          <w:sz w:val="24"/>
          <w:szCs w:val="24"/>
          <w:lang w:val="en-GB"/>
        </w:rPr>
        <w:t xml:space="preserve">K. (2012). </w:t>
      </w:r>
      <w:r w:rsidRPr="00BC6101">
        <w:rPr>
          <w:rFonts w:ascii="Times New Roman" w:hAnsi="Times New Roman"/>
          <w:i/>
          <w:iCs/>
          <w:sz w:val="24"/>
          <w:szCs w:val="24"/>
          <w:lang w:val="en-GB"/>
        </w:rPr>
        <w:t>Applications of Case Study Research.</w:t>
      </w:r>
      <w:r w:rsidRPr="00BC6101">
        <w:rPr>
          <w:rFonts w:ascii="Times New Roman" w:hAnsi="Times New Roman"/>
          <w:sz w:val="24"/>
          <w:szCs w:val="24"/>
          <w:lang w:val="en-GB"/>
        </w:rPr>
        <w:t xml:space="preserve"> London: Sage.</w:t>
      </w:r>
    </w:p>
    <w:p w:rsidR="00191F9B" w:rsidRPr="00BC6101" w:rsidRDefault="008509C0" w:rsidP="008509C0">
      <w:pPr>
        <w:tabs>
          <w:tab w:val="left" w:pos="6348"/>
        </w:tabs>
        <w:spacing w:afterLines="60" w:line="240" w:lineRule="auto"/>
        <w:ind w:left="284" w:hanging="284"/>
        <w:jc w:val="both"/>
        <w:rPr>
          <w:rFonts w:ascii="Times New Roman" w:hAnsi="Times New Roman"/>
          <w:sz w:val="24"/>
          <w:szCs w:val="24"/>
          <w:lang w:val="en-GB"/>
        </w:rPr>
      </w:pPr>
      <w:r w:rsidRPr="00BC6101">
        <w:rPr>
          <w:rFonts w:ascii="Times New Roman" w:hAnsi="Times New Roman"/>
          <w:sz w:val="24"/>
          <w:szCs w:val="24"/>
          <w:lang w:val="en-GB"/>
        </w:rPr>
        <w:fldChar w:fldCharType="end"/>
      </w:r>
    </w:p>
    <w:sectPr w:rsidR="00191F9B" w:rsidRPr="00BC6101" w:rsidSect="0085118E">
      <w:footerReference w:type="default" r:id="rId17"/>
      <w:head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C76" w:rsidRDefault="00D61C76" w:rsidP="00191F9B">
      <w:pPr>
        <w:spacing w:after="0" w:line="240" w:lineRule="auto"/>
      </w:pPr>
      <w:r>
        <w:separator/>
      </w:r>
    </w:p>
  </w:endnote>
  <w:endnote w:type="continuationSeparator" w:id="0">
    <w:p w:rsidR="00D61C76" w:rsidRDefault="00D61C76" w:rsidP="001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Grasset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198568"/>
      <w:docPartObj>
        <w:docPartGallery w:val="Page Numbers (Bottom of Page)"/>
        <w:docPartUnique/>
      </w:docPartObj>
    </w:sdtPr>
    <w:sdtContent>
      <w:p w:rsidR="00560E19" w:rsidRDefault="008509C0">
        <w:pPr>
          <w:pStyle w:val="Pieddepage"/>
          <w:jc w:val="center"/>
        </w:pPr>
        <w:r>
          <w:fldChar w:fldCharType="begin"/>
        </w:r>
        <w:r w:rsidR="00560E19">
          <w:instrText>PAGE   \* MERGEFORMAT</w:instrText>
        </w:r>
        <w:r>
          <w:fldChar w:fldCharType="separate"/>
        </w:r>
        <w:r w:rsidR="005E48B4">
          <w:rPr>
            <w:noProof/>
          </w:rPr>
          <w:t>16</w:t>
        </w:r>
        <w:r>
          <w:fldChar w:fldCharType="end"/>
        </w:r>
      </w:p>
    </w:sdtContent>
  </w:sdt>
  <w:p w:rsidR="00560E19" w:rsidRDefault="00560E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C76" w:rsidRDefault="00D61C76" w:rsidP="00191F9B">
      <w:pPr>
        <w:spacing w:after="0" w:line="240" w:lineRule="auto"/>
      </w:pPr>
      <w:r>
        <w:separator/>
      </w:r>
    </w:p>
  </w:footnote>
  <w:footnote w:type="continuationSeparator" w:id="0">
    <w:p w:rsidR="00D61C76" w:rsidRDefault="00D61C76" w:rsidP="00191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19" w:rsidRDefault="00560E19" w:rsidP="00191F9B">
    <w:pPr>
      <w:pStyle w:val="En-tte"/>
      <w:spacing w:after="0" w:line="240" w:lineRule="auto"/>
      <w:jc w:val="center"/>
    </w:pPr>
  </w:p>
  <w:p w:rsidR="00560E19" w:rsidRDefault="00560E19" w:rsidP="0085118E">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1">
    <w:nsid w:val="4A223C80"/>
    <w:multiLevelType w:val="hybridMultilevel"/>
    <w:tmpl w:val="0A746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7CFA52C5"/>
    <w:multiLevelType w:val="hybridMultilevel"/>
    <w:tmpl w:val="D94E258C"/>
    <w:lvl w:ilvl="0" w:tplc="0410000F">
      <w:start w:val="1"/>
      <w:numFmt w:val="decimal"/>
      <w:lvlText w:val="%1."/>
      <w:lvlJc w:val="left"/>
      <w:pPr>
        <w:ind w:left="72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91F9B"/>
    <w:rsid w:val="00005E2A"/>
    <w:rsid w:val="00006927"/>
    <w:rsid w:val="00012383"/>
    <w:rsid w:val="000327A5"/>
    <w:rsid w:val="00040066"/>
    <w:rsid w:val="000453B1"/>
    <w:rsid w:val="00053E9A"/>
    <w:rsid w:val="00062B37"/>
    <w:rsid w:val="00064D09"/>
    <w:rsid w:val="000721B9"/>
    <w:rsid w:val="00072D93"/>
    <w:rsid w:val="00081C19"/>
    <w:rsid w:val="0008629C"/>
    <w:rsid w:val="00087FD5"/>
    <w:rsid w:val="00090945"/>
    <w:rsid w:val="00093F4A"/>
    <w:rsid w:val="000A19DE"/>
    <w:rsid w:val="000A431C"/>
    <w:rsid w:val="000B0925"/>
    <w:rsid w:val="000B3B1A"/>
    <w:rsid w:val="000B3BB3"/>
    <w:rsid w:val="000C19F4"/>
    <w:rsid w:val="000E035F"/>
    <w:rsid w:val="000E0465"/>
    <w:rsid w:val="000E2D02"/>
    <w:rsid w:val="000E5862"/>
    <w:rsid w:val="000F19ED"/>
    <w:rsid w:val="00101A65"/>
    <w:rsid w:val="00101D0D"/>
    <w:rsid w:val="00114409"/>
    <w:rsid w:val="0012724A"/>
    <w:rsid w:val="001309EE"/>
    <w:rsid w:val="00135542"/>
    <w:rsid w:val="00146223"/>
    <w:rsid w:val="00147071"/>
    <w:rsid w:val="00181651"/>
    <w:rsid w:val="001844F6"/>
    <w:rsid w:val="001847AE"/>
    <w:rsid w:val="00186CFA"/>
    <w:rsid w:val="00191F9B"/>
    <w:rsid w:val="001956E5"/>
    <w:rsid w:val="001A20B2"/>
    <w:rsid w:val="001A39E6"/>
    <w:rsid w:val="001A7753"/>
    <w:rsid w:val="001B178D"/>
    <w:rsid w:val="001B3223"/>
    <w:rsid w:val="001B73A0"/>
    <w:rsid w:val="001D4132"/>
    <w:rsid w:val="001D4950"/>
    <w:rsid w:val="001D50D4"/>
    <w:rsid w:val="001E1AE4"/>
    <w:rsid w:val="001E7EFE"/>
    <w:rsid w:val="001F30E2"/>
    <w:rsid w:val="001F778E"/>
    <w:rsid w:val="00200691"/>
    <w:rsid w:val="002035D4"/>
    <w:rsid w:val="002361BA"/>
    <w:rsid w:val="00243328"/>
    <w:rsid w:val="00244742"/>
    <w:rsid w:val="0026273F"/>
    <w:rsid w:val="00262C2A"/>
    <w:rsid w:val="00270A94"/>
    <w:rsid w:val="0027444D"/>
    <w:rsid w:val="0027775E"/>
    <w:rsid w:val="0028460C"/>
    <w:rsid w:val="002855A8"/>
    <w:rsid w:val="002A5D9F"/>
    <w:rsid w:val="002A638F"/>
    <w:rsid w:val="002A6539"/>
    <w:rsid w:val="002B58FF"/>
    <w:rsid w:val="002D7A4B"/>
    <w:rsid w:val="002E398A"/>
    <w:rsid w:val="002F3EF1"/>
    <w:rsid w:val="002F5D9B"/>
    <w:rsid w:val="0030174A"/>
    <w:rsid w:val="003023EC"/>
    <w:rsid w:val="003136B9"/>
    <w:rsid w:val="003216D4"/>
    <w:rsid w:val="003307DB"/>
    <w:rsid w:val="00331570"/>
    <w:rsid w:val="00337E20"/>
    <w:rsid w:val="00360539"/>
    <w:rsid w:val="003650F1"/>
    <w:rsid w:val="0036564C"/>
    <w:rsid w:val="00372BA1"/>
    <w:rsid w:val="003760A4"/>
    <w:rsid w:val="003846D1"/>
    <w:rsid w:val="003865BC"/>
    <w:rsid w:val="003A07C0"/>
    <w:rsid w:val="003A4392"/>
    <w:rsid w:val="003A6C95"/>
    <w:rsid w:val="003E62E6"/>
    <w:rsid w:val="0041038F"/>
    <w:rsid w:val="004122EA"/>
    <w:rsid w:val="00414B19"/>
    <w:rsid w:val="00417514"/>
    <w:rsid w:val="00423A31"/>
    <w:rsid w:val="00424D44"/>
    <w:rsid w:val="00433754"/>
    <w:rsid w:val="00437B0D"/>
    <w:rsid w:val="004679DD"/>
    <w:rsid w:val="004713B4"/>
    <w:rsid w:val="00482A03"/>
    <w:rsid w:val="0049567B"/>
    <w:rsid w:val="00495AB6"/>
    <w:rsid w:val="004A427A"/>
    <w:rsid w:val="004C6B90"/>
    <w:rsid w:val="004E0739"/>
    <w:rsid w:val="004E11F1"/>
    <w:rsid w:val="004E18B5"/>
    <w:rsid w:val="004F7A7D"/>
    <w:rsid w:val="00503AFE"/>
    <w:rsid w:val="005168FE"/>
    <w:rsid w:val="0053778C"/>
    <w:rsid w:val="00542622"/>
    <w:rsid w:val="00560E19"/>
    <w:rsid w:val="00561276"/>
    <w:rsid w:val="005716B0"/>
    <w:rsid w:val="00573DA9"/>
    <w:rsid w:val="0057628F"/>
    <w:rsid w:val="0057665A"/>
    <w:rsid w:val="0057778D"/>
    <w:rsid w:val="0058060F"/>
    <w:rsid w:val="00595B53"/>
    <w:rsid w:val="005D60E5"/>
    <w:rsid w:val="005E48B4"/>
    <w:rsid w:val="005F045D"/>
    <w:rsid w:val="005F2E37"/>
    <w:rsid w:val="005F4FD6"/>
    <w:rsid w:val="00606A41"/>
    <w:rsid w:val="00620C4C"/>
    <w:rsid w:val="00650F6C"/>
    <w:rsid w:val="00652392"/>
    <w:rsid w:val="006621F5"/>
    <w:rsid w:val="00666CF0"/>
    <w:rsid w:val="00670F63"/>
    <w:rsid w:val="00672E89"/>
    <w:rsid w:val="00681524"/>
    <w:rsid w:val="00693411"/>
    <w:rsid w:val="006B38B4"/>
    <w:rsid w:val="006C0D0B"/>
    <w:rsid w:val="006C2C63"/>
    <w:rsid w:val="006D1B7A"/>
    <w:rsid w:val="006D786E"/>
    <w:rsid w:val="00701DA0"/>
    <w:rsid w:val="00704199"/>
    <w:rsid w:val="00711976"/>
    <w:rsid w:val="00715C1C"/>
    <w:rsid w:val="00717CBC"/>
    <w:rsid w:val="00730787"/>
    <w:rsid w:val="0073781C"/>
    <w:rsid w:val="00760723"/>
    <w:rsid w:val="00766297"/>
    <w:rsid w:val="00766F57"/>
    <w:rsid w:val="007736C8"/>
    <w:rsid w:val="007749B9"/>
    <w:rsid w:val="007808B8"/>
    <w:rsid w:val="00784880"/>
    <w:rsid w:val="007857CA"/>
    <w:rsid w:val="00794271"/>
    <w:rsid w:val="007A0EFC"/>
    <w:rsid w:val="007A7860"/>
    <w:rsid w:val="007C1160"/>
    <w:rsid w:val="007C5C98"/>
    <w:rsid w:val="007D02EC"/>
    <w:rsid w:val="007D79E3"/>
    <w:rsid w:val="007E1A3F"/>
    <w:rsid w:val="007E28EB"/>
    <w:rsid w:val="007F4548"/>
    <w:rsid w:val="007F5BA7"/>
    <w:rsid w:val="008103DD"/>
    <w:rsid w:val="00822521"/>
    <w:rsid w:val="008228A0"/>
    <w:rsid w:val="00823F6C"/>
    <w:rsid w:val="00827EF7"/>
    <w:rsid w:val="008509C0"/>
    <w:rsid w:val="0085118E"/>
    <w:rsid w:val="0085152E"/>
    <w:rsid w:val="00851C75"/>
    <w:rsid w:val="00853FF2"/>
    <w:rsid w:val="00857875"/>
    <w:rsid w:val="00870A52"/>
    <w:rsid w:val="00870C23"/>
    <w:rsid w:val="0088712E"/>
    <w:rsid w:val="00894F92"/>
    <w:rsid w:val="008A3104"/>
    <w:rsid w:val="008A59A5"/>
    <w:rsid w:val="008C1BFF"/>
    <w:rsid w:val="008C69F1"/>
    <w:rsid w:val="008C6E49"/>
    <w:rsid w:val="008E440B"/>
    <w:rsid w:val="008F00D3"/>
    <w:rsid w:val="00900589"/>
    <w:rsid w:val="0091240A"/>
    <w:rsid w:val="009450B8"/>
    <w:rsid w:val="009549B9"/>
    <w:rsid w:val="00954DC3"/>
    <w:rsid w:val="009644A3"/>
    <w:rsid w:val="00967F28"/>
    <w:rsid w:val="009723A4"/>
    <w:rsid w:val="00980A89"/>
    <w:rsid w:val="00983CB1"/>
    <w:rsid w:val="00990D2F"/>
    <w:rsid w:val="009914B9"/>
    <w:rsid w:val="00996B7B"/>
    <w:rsid w:val="009A361D"/>
    <w:rsid w:val="009A4D33"/>
    <w:rsid w:val="009B4676"/>
    <w:rsid w:val="009B673D"/>
    <w:rsid w:val="009D1C34"/>
    <w:rsid w:val="009E3EF1"/>
    <w:rsid w:val="00A0455E"/>
    <w:rsid w:val="00A04ED0"/>
    <w:rsid w:val="00A23181"/>
    <w:rsid w:val="00A278F9"/>
    <w:rsid w:val="00A30D90"/>
    <w:rsid w:val="00A33EC3"/>
    <w:rsid w:val="00A37162"/>
    <w:rsid w:val="00A40761"/>
    <w:rsid w:val="00A4569D"/>
    <w:rsid w:val="00A45BF3"/>
    <w:rsid w:val="00A46CA3"/>
    <w:rsid w:val="00A5449A"/>
    <w:rsid w:val="00A70FC4"/>
    <w:rsid w:val="00A72944"/>
    <w:rsid w:val="00A779ED"/>
    <w:rsid w:val="00A87521"/>
    <w:rsid w:val="00A9015D"/>
    <w:rsid w:val="00A92D61"/>
    <w:rsid w:val="00A931B5"/>
    <w:rsid w:val="00A9529C"/>
    <w:rsid w:val="00A95BD3"/>
    <w:rsid w:val="00AC3013"/>
    <w:rsid w:val="00AC3437"/>
    <w:rsid w:val="00AF6C54"/>
    <w:rsid w:val="00B10D53"/>
    <w:rsid w:val="00B202C3"/>
    <w:rsid w:val="00B33B88"/>
    <w:rsid w:val="00B33E72"/>
    <w:rsid w:val="00B4315D"/>
    <w:rsid w:val="00B530BD"/>
    <w:rsid w:val="00B55AA1"/>
    <w:rsid w:val="00B739A8"/>
    <w:rsid w:val="00B76932"/>
    <w:rsid w:val="00B8162F"/>
    <w:rsid w:val="00B87226"/>
    <w:rsid w:val="00B917F6"/>
    <w:rsid w:val="00B9759D"/>
    <w:rsid w:val="00BA692E"/>
    <w:rsid w:val="00BC6101"/>
    <w:rsid w:val="00BC7025"/>
    <w:rsid w:val="00BE7206"/>
    <w:rsid w:val="00BF0956"/>
    <w:rsid w:val="00BF7105"/>
    <w:rsid w:val="00BF7423"/>
    <w:rsid w:val="00C06753"/>
    <w:rsid w:val="00C1184D"/>
    <w:rsid w:val="00C2029B"/>
    <w:rsid w:val="00C34451"/>
    <w:rsid w:val="00C4677F"/>
    <w:rsid w:val="00C53C36"/>
    <w:rsid w:val="00C55763"/>
    <w:rsid w:val="00C64AD8"/>
    <w:rsid w:val="00C65B46"/>
    <w:rsid w:val="00C67339"/>
    <w:rsid w:val="00C734E7"/>
    <w:rsid w:val="00CC6324"/>
    <w:rsid w:val="00CD1FA7"/>
    <w:rsid w:val="00CD46EC"/>
    <w:rsid w:val="00CE3EAE"/>
    <w:rsid w:val="00CE54FC"/>
    <w:rsid w:val="00CE6E62"/>
    <w:rsid w:val="00CE75A6"/>
    <w:rsid w:val="00CF2380"/>
    <w:rsid w:val="00CF3C42"/>
    <w:rsid w:val="00CF5787"/>
    <w:rsid w:val="00D079A2"/>
    <w:rsid w:val="00D1199B"/>
    <w:rsid w:val="00D335E8"/>
    <w:rsid w:val="00D36379"/>
    <w:rsid w:val="00D442BB"/>
    <w:rsid w:val="00D46D8A"/>
    <w:rsid w:val="00D52346"/>
    <w:rsid w:val="00D61C76"/>
    <w:rsid w:val="00D7416C"/>
    <w:rsid w:val="00D83BB9"/>
    <w:rsid w:val="00D872DE"/>
    <w:rsid w:val="00DA0650"/>
    <w:rsid w:val="00DA5603"/>
    <w:rsid w:val="00DA5780"/>
    <w:rsid w:val="00DB3673"/>
    <w:rsid w:val="00DC1B98"/>
    <w:rsid w:val="00DC22D1"/>
    <w:rsid w:val="00DC4CEF"/>
    <w:rsid w:val="00DD046F"/>
    <w:rsid w:val="00DD34B6"/>
    <w:rsid w:val="00DD6B86"/>
    <w:rsid w:val="00DF52C3"/>
    <w:rsid w:val="00E04F34"/>
    <w:rsid w:val="00E067CC"/>
    <w:rsid w:val="00E168BD"/>
    <w:rsid w:val="00E26685"/>
    <w:rsid w:val="00E54ABB"/>
    <w:rsid w:val="00E638C9"/>
    <w:rsid w:val="00E700AA"/>
    <w:rsid w:val="00E81C74"/>
    <w:rsid w:val="00E82CDD"/>
    <w:rsid w:val="00E94F12"/>
    <w:rsid w:val="00E97172"/>
    <w:rsid w:val="00EA3A2E"/>
    <w:rsid w:val="00EA6BDD"/>
    <w:rsid w:val="00EB04ED"/>
    <w:rsid w:val="00EB3D08"/>
    <w:rsid w:val="00EC1901"/>
    <w:rsid w:val="00ED398F"/>
    <w:rsid w:val="00EE20D8"/>
    <w:rsid w:val="00EE5C05"/>
    <w:rsid w:val="00EF1EBA"/>
    <w:rsid w:val="00EF5BB5"/>
    <w:rsid w:val="00F008AD"/>
    <w:rsid w:val="00F07586"/>
    <w:rsid w:val="00F17CF4"/>
    <w:rsid w:val="00F228F1"/>
    <w:rsid w:val="00F23149"/>
    <w:rsid w:val="00F36140"/>
    <w:rsid w:val="00F55C58"/>
    <w:rsid w:val="00F83710"/>
    <w:rsid w:val="00F87CF6"/>
    <w:rsid w:val="00F902D9"/>
    <w:rsid w:val="00F93E2F"/>
    <w:rsid w:val="00F975D2"/>
    <w:rsid w:val="00FB532B"/>
    <w:rsid w:val="00FC0548"/>
    <w:rsid w:val="00FC06B6"/>
    <w:rsid w:val="00FC28AB"/>
    <w:rsid w:val="00FC5831"/>
    <w:rsid w:val="00FD4757"/>
    <w:rsid w:val="00FE1125"/>
    <w:rsid w:val="00FE260D"/>
    <w:rsid w:val="00FE7CE7"/>
    <w:rsid w:val="00FF48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9B"/>
    <w:pPr>
      <w:spacing w:after="200" w:line="276" w:lineRule="auto"/>
    </w:pPr>
    <w:rPr>
      <w:rFonts w:ascii="Calibri" w:eastAsia="Calibri" w:hAnsi="Calibri" w:cs="Times New Roman"/>
      <w:lang w:val="it-IT"/>
    </w:rPr>
  </w:style>
  <w:style w:type="paragraph" w:styleId="Titre1">
    <w:name w:val="heading 1"/>
    <w:basedOn w:val="Normal"/>
    <w:next w:val="Normal"/>
    <w:link w:val="Titre1Car"/>
    <w:uiPriority w:val="9"/>
    <w:qFormat/>
    <w:rsid w:val="00B769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769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F9B"/>
    <w:pPr>
      <w:ind w:left="720"/>
      <w:contextualSpacing/>
    </w:pPr>
  </w:style>
  <w:style w:type="paragraph" w:styleId="En-tte">
    <w:name w:val="header"/>
    <w:basedOn w:val="Normal"/>
    <w:link w:val="En-tteCar"/>
    <w:uiPriority w:val="99"/>
    <w:unhideWhenUsed/>
    <w:rsid w:val="00191F9B"/>
    <w:pPr>
      <w:tabs>
        <w:tab w:val="center" w:pos="4819"/>
        <w:tab w:val="right" w:pos="9638"/>
      </w:tabs>
    </w:pPr>
  </w:style>
  <w:style w:type="character" w:customStyle="1" w:styleId="En-tteCar">
    <w:name w:val="En-tête Car"/>
    <w:basedOn w:val="Policepardfaut"/>
    <w:link w:val="En-tte"/>
    <w:uiPriority w:val="99"/>
    <w:rsid w:val="00191F9B"/>
    <w:rPr>
      <w:rFonts w:ascii="Calibri" w:eastAsia="Calibri" w:hAnsi="Calibri" w:cs="Times New Roman"/>
      <w:lang w:val="it-IT"/>
    </w:rPr>
  </w:style>
  <w:style w:type="paragraph" w:styleId="Pieddepage">
    <w:name w:val="footer"/>
    <w:basedOn w:val="Normal"/>
    <w:link w:val="PieddepageCar"/>
    <w:uiPriority w:val="99"/>
    <w:unhideWhenUsed/>
    <w:rsid w:val="00191F9B"/>
    <w:pPr>
      <w:tabs>
        <w:tab w:val="center" w:pos="4819"/>
        <w:tab w:val="right" w:pos="9638"/>
      </w:tabs>
    </w:pPr>
  </w:style>
  <w:style w:type="character" w:customStyle="1" w:styleId="PieddepageCar">
    <w:name w:val="Pied de page Car"/>
    <w:basedOn w:val="Policepardfaut"/>
    <w:link w:val="Pieddepage"/>
    <w:uiPriority w:val="99"/>
    <w:rsid w:val="00191F9B"/>
    <w:rPr>
      <w:rFonts w:ascii="Calibri" w:eastAsia="Calibri" w:hAnsi="Calibri" w:cs="Times New Roman"/>
      <w:lang w:val="it-IT"/>
    </w:rPr>
  </w:style>
  <w:style w:type="character" w:styleId="Numrodepage">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191F9B"/>
    <w:rPr>
      <w:sz w:val="20"/>
      <w:szCs w:val="20"/>
    </w:rPr>
  </w:style>
  <w:style w:type="character" w:customStyle="1" w:styleId="NotedebasdepageCar">
    <w:name w:val="Note de bas de page Car"/>
    <w:basedOn w:val="Policepardfaut"/>
    <w:link w:val="Notedebasdepage"/>
    <w:rsid w:val="00191F9B"/>
    <w:rPr>
      <w:rFonts w:ascii="Calibri" w:eastAsia="Calibri" w:hAnsi="Calibri" w:cs="Times New Roman"/>
      <w:sz w:val="20"/>
      <w:szCs w:val="20"/>
      <w:lang w:val="it-IT"/>
    </w:rPr>
  </w:style>
  <w:style w:type="character" w:styleId="Appelnotedebasdep">
    <w:name w:val="footnote reference"/>
    <w:uiPriority w:val="99"/>
    <w:semiHidden/>
    <w:unhideWhenUsed/>
    <w:rsid w:val="00191F9B"/>
    <w:rPr>
      <w:vertAlign w:val="superscript"/>
    </w:rPr>
  </w:style>
  <w:style w:type="paragraph" w:styleId="Textedebulles">
    <w:name w:val="Balloon Text"/>
    <w:basedOn w:val="Normal"/>
    <w:link w:val="TextedebullesCar"/>
    <w:uiPriority w:val="99"/>
    <w:semiHidden/>
    <w:unhideWhenUsed/>
    <w:rsid w:val="00191F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F9B"/>
    <w:rPr>
      <w:rFonts w:ascii="Tahoma" w:eastAsia="Calibri" w:hAnsi="Tahoma" w:cs="Tahoma"/>
      <w:sz w:val="16"/>
      <w:szCs w:val="16"/>
      <w:lang w:val="it-IT"/>
    </w:rPr>
  </w:style>
  <w:style w:type="character" w:customStyle="1" w:styleId="Titre2Car">
    <w:name w:val="Titre 2 Car"/>
    <w:basedOn w:val="Policepardfaut"/>
    <w:link w:val="Titre2"/>
    <w:uiPriority w:val="9"/>
    <w:rsid w:val="00B76932"/>
    <w:rPr>
      <w:rFonts w:asciiTheme="majorHAnsi" w:eastAsiaTheme="majorEastAsia" w:hAnsiTheme="majorHAnsi" w:cstheme="majorBidi"/>
      <w:color w:val="365F91" w:themeColor="accent1" w:themeShade="BF"/>
      <w:sz w:val="26"/>
      <w:szCs w:val="26"/>
      <w:lang w:val="it-IT"/>
    </w:rPr>
  </w:style>
  <w:style w:type="character" w:customStyle="1" w:styleId="Titre1Car">
    <w:name w:val="Titre 1 Car"/>
    <w:basedOn w:val="Policepardfaut"/>
    <w:link w:val="Titre1"/>
    <w:uiPriority w:val="9"/>
    <w:rsid w:val="00B76932"/>
    <w:rPr>
      <w:rFonts w:asciiTheme="majorHAnsi" w:eastAsiaTheme="majorEastAsia" w:hAnsiTheme="majorHAnsi" w:cstheme="majorBidi"/>
      <w:color w:val="365F91" w:themeColor="accent1" w:themeShade="BF"/>
      <w:sz w:val="32"/>
      <w:szCs w:val="32"/>
      <w:lang w:val="it-IT"/>
    </w:rPr>
  </w:style>
  <w:style w:type="paragraph" w:styleId="Bibliographie">
    <w:name w:val="Bibliography"/>
    <w:basedOn w:val="Normal"/>
    <w:next w:val="Normal"/>
    <w:uiPriority w:val="37"/>
    <w:unhideWhenUsed/>
    <w:rsid w:val="00A87521"/>
  </w:style>
  <w:style w:type="paragraph" w:styleId="Lgende">
    <w:name w:val="caption"/>
    <w:basedOn w:val="Normal"/>
    <w:next w:val="Normal"/>
    <w:uiPriority w:val="35"/>
    <w:unhideWhenUsed/>
    <w:qFormat/>
    <w:rsid w:val="00005E2A"/>
    <w:pPr>
      <w:spacing w:line="240" w:lineRule="auto"/>
    </w:pPr>
    <w:rPr>
      <w:i/>
      <w:iCs/>
      <w:color w:val="1F497D" w:themeColor="text2"/>
      <w:sz w:val="18"/>
      <w:szCs w:val="18"/>
    </w:rPr>
  </w:style>
  <w:style w:type="character" w:styleId="Lienhypertexte">
    <w:name w:val="Hyperlink"/>
    <w:basedOn w:val="Policepardfaut"/>
    <w:uiPriority w:val="99"/>
    <w:unhideWhenUsed/>
    <w:rsid w:val="001D4132"/>
    <w:rPr>
      <w:color w:val="0000FF" w:themeColor="hyperlink"/>
      <w:u w:val="single"/>
    </w:rPr>
  </w:style>
  <w:style w:type="character" w:customStyle="1" w:styleId="UnresolvedMention">
    <w:name w:val="Unresolved Mention"/>
    <w:basedOn w:val="Policepardfaut"/>
    <w:uiPriority w:val="99"/>
    <w:semiHidden/>
    <w:unhideWhenUsed/>
    <w:rsid w:val="001D413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455951">
      <w:bodyDiv w:val="1"/>
      <w:marLeft w:val="0"/>
      <w:marRight w:val="0"/>
      <w:marTop w:val="0"/>
      <w:marBottom w:val="0"/>
      <w:divBdr>
        <w:top w:val="none" w:sz="0" w:space="0" w:color="auto"/>
        <w:left w:val="none" w:sz="0" w:space="0" w:color="auto"/>
        <w:bottom w:val="none" w:sz="0" w:space="0" w:color="auto"/>
        <w:right w:val="none" w:sz="0" w:space="0" w:color="auto"/>
      </w:divBdr>
    </w:div>
    <w:div w:id="13969502">
      <w:bodyDiv w:val="1"/>
      <w:marLeft w:val="0"/>
      <w:marRight w:val="0"/>
      <w:marTop w:val="0"/>
      <w:marBottom w:val="0"/>
      <w:divBdr>
        <w:top w:val="none" w:sz="0" w:space="0" w:color="auto"/>
        <w:left w:val="none" w:sz="0" w:space="0" w:color="auto"/>
        <w:bottom w:val="none" w:sz="0" w:space="0" w:color="auto"/>
        <w:right w:val="none" w:sz="0" w:space="0" w:color="auto"/>
      </w:divBdr>
    </w:div>
    <w:div w:id="54161471">
      <w:bodyDiv w:val="1"/>
      <w:marLeft w:val="0"/>
      <w:marRight w:val="0"/>
      <w:marTop w:val="0"/>
      <w:marBottom w:val="0"/>
      <w:divBdr>
        <w:top w:val="none" w:sz="0" w:space="0" w:color="auto"/>
        <w:left w:val="none" w:sz="0" w:space="0" w:color="auto"/>
        <w:bottom w:val="none" w:sz="0" w:space="0" w:color="auto"/>
        <w:right w:val="none" w:sz="0" w:space="0" w:color="auto"/>
      </w:divBdr>
    </w:div>
    <w:div w:id="72627178">
      <w:bodyDiv w:val="1"/>
      <w:marLeft w:val="0"/>
      <w:marRight w:val="0"/>
      <w:marTop w:val="0"/>
      <w:marBottom w:val="0"/>
      <w:divBdr>
        <w:top w:val="none" w:sz="0" w:space="0" w:color="auto"/>
        <w:left w:val="none" w:sz="0" w:space="0" w:color="auto"/>
        <w:bottom w:val="none" w:sz="0" w:space="0" w:color="auto"/>
        <w:right w:val="none" w:sz="0" w:space="0" w:color="auto"/>
      </w:divBdr>
    </w:div>
    <w:div w:id="82649582">
      <w:bodyDiv w:val="1"/>
      <w:marLeft w:val="0"/>
      <w:marRight w:val="0"/>
      <w:marTop w:val="0"/>
      <w:marBottom w:val="0"/>
      <w:divBdr>
        <w:top w:val="none" w:sz="0" w:space="0" w:color="auto"/>
        <w:left w:val="none" w:sz="0" w:space="0" w:color="auto"/>
        <w:bottom w:val="none" w:sz="0" w:space="0" w:color="auto"/>
        <w:right w:val="none" w:sz="0" w:space="0" w:color="auto"/>
      </w:divBdr>
    </w:div>
    <w:div w:id="96219853">
      <w:bodyDiv w:val="1"/>
      <w:marLeft w:val="0"/>
      <w:marRight w:val="0"/>
      <w:marTop w:val="0"/>
      <w:marBottom w:val="0"/>
      <w:divBdr>
        <w:top w:val="none" w:sz="0" w:space="0" w:color="auto"/>
        <w:left w:val="none" w:sz="0" w:space="0" w:color="auto"/>
        <w:bottom w:val="none" w:sz="0" w:space="0" w:color="auto"/>
        <w:right w:val="none" w:sz="0" w:space="0" w:color="auto"/>
      </w:divBdr>
    </w:div>
    <w:div w:id="103499591">
      <w:bodyDiv w:val="1"/>
      <w:marLeft w:val="0"/>
      <w:marRight w:val="0"/>
      <w:marTop w:val="0"/>
      <w:marBottom w:val="0"/>
      <w:divBdr>
        <w:top w:val="none" w:sz="0" w:space="0" w:color="auto"/>
        <w:left w:val="none" w:sz="0" w:space="0" w:color="auto"/>
        <w:bottom w:val="none" w:sz="0" w:space="0" w:color="auto"/>
        <w:right w:val="none" w:sz="0" w:space="0" w:color="auto"/>
      </w:divBdr>
    </w:div>
    <w:div w:id="162823251">
      <w:bodyDiv w:val="1"/>
      <w:marLeft w:val="0"/>
      <w:marRight w:val="0"/>
      <w:marTop w:val="0"/>
      <w:marBottom w:val="0"/>
      <w:divBdr>
        <w:top w:val="none" w:sz="0" w:space="0" w:color="auto"/>
        <w:left w:val="none" w:sz="0" w:space="0" w:color="auto"/>
        <w:bottom w:val="none" w:sz="0" w:space="0" w:color="auto"/>
        <w:right w:val="none" w:sz="0" w:space="0" w:color="auto"/>
      </w:divBdr>
    </w:div>
    <w:div w:id="171846389">
      <w:bodyDiv w:val="1"/>
      <w:marLeft w:val="0"/>
      <w:marRight w:val="0"/>
      <w:marTop w:val="0"/>
      <w:marBottom w:val="0"/>
      <w:divBdr>
        <w:top w:val="none" w:sz="0" w:space="0" w:color="auto"/>
        <w:left w:val="none" w:sz="0" w:space="0" w:color="auto"/>
        <w:bottom w:val="none" w:sz="0" w:space="0" w:color="auto"/>
        <w:right w:val="none" w:sz="0" w:space="0" w:color="auto"/>
      </w:divBdr>
    </w:div>
    <w:div w:id="187914430">
      <w:bodyDiv w:val="1"/>
      <w:marLeft w:val="0"/>
      <w:marRight w:val="0"/>
      <w:marTop w:val="0"/>
      <w:marBottom w:val="0"/>
      <w:divBdr>
        <w:top w:val="none" w:sz="0" w:space="0" w:color="auto"/>
        <w:left w:val="none" w:sz="0" w:space="0" w:color="auto"/>
        <w:bottom w:val="none" w:sz="0" w:space="0" w:color="auto"/>
        <w:right w:val="none" w:sz="0" w:space="0" w:color="auto"/>
      </w:divBdr>
    </w:div>
    <w:div w:id="190998911">
      <w:bodyDiv w:val="1"/>
      <w:marLeft w:val="0"/>
      <w:marRight w:val="0"/>
      <w:marTop w:val="0"/>
      <w:marBottom w:val="0"/>
      <w:divBdr>
        <w:top w:val="none" w:sz="0" w:space="0" w:color="auto"/>
        <w:left w:val="none" w:sz="0" w:space="0" w:color="auto"/>
        <w:bottom w:val="none" w:sz="0" w:space="0" w:color="auto"/>
        <w:right w:val="none" w:sz="0" w:space="0" w:color="auto"/>
      </w:divBdr>
    </w:div>
    <w:div w:id="194395673">
      <w:bodyDiv w:val="1"/>
      <w:marLeft w:val="0"/>
      <w:marRight w:val="0"/>
      <w:marTop w:val="0"/>
      <w:marBottom w:val="0"/>
      <w:divBdr>
        <w:top w:val="none" w:sz="0" w:space="0" w:color="auto"/>
        <w:left w:val="none" w:sz="0" w:space="0" w:color="auto"/>
        <w:bottom w:val="none" w:sz="0" w:space="0" w:color="auto"/>
        <w:right w:val="none" w:sz="0" w:space="0" w:color="auto"/>
      </w:divBdr>
    </w:div>
    <w:div w:id="251091230">
      <w:bodyDiv w:val="1"/>
      <w:marLeft w:val="0"/>
      <w:marRight w:val="0"/>
      <w:marTop w:val="0"/>
      <w:marBottom w:val="0"/>
      <w:divBdr>
        <w:top w:val="none" w:sz="0" w:space="0" w:color="auto"/>
        <w:left w:val="none" w:sz="0" w:space="0" w:color="auto"/>
        <w:bottom w:val="none" w:sz="0" w:space="0" w:color="auto"/>
        <w:right w:val="none" w:sz="0" w:space="0" w:color="auto"/>
      </w:divBdr>
    </w:div>
    <w:div w:id="280496251">
      <w:bodyDiv w:val="1"/>
      <w:marLeft w:val="0"/>
      <w:marRight w:val="0"/>
      <w:marTop w:val="0"/>
      <w:marBottom w:val="0"/>
      <w:divBdr>
        <w:top w:val="none" w:sz="0" w:space="0" w:color="auto"/>
        <w:left w:val="none" w:sz="0" w:space="0" w:color="auto"/>
        <w:bottom w:val="none" w:sz="0" w:space="0" w:color="auto"/>
        <w:right w:val="none" w:sz="0" w:space="0" w:color="auto"/>
      </w:divBdr>
    </w:div>
    <w:div w:id="395209451">
      <w:bodyDiv w:val="1"/>
      <w:marLeft w:val="0"/>
      <w:marRight w:val="0"/>
      <w:marTop w:val="0"/>
      <w:marBottom w:val="0"/>
      <w:divBdr>
        <w:top w:val="none" w:sz="0" w:space="0" w:color="auto"/>
        <w:left w:val="none" w:sz="0" w:space="0" w:color="auto"/>
        <w:bottom w:val="none" w:sz="0" w:space="0" w:color="auto"/>
        <w:right w:val="none" w:sz="0" w:space="0" w:color="auto"/>
      </w:divBdr>
    </w:div>
    <w:div w:id="424031631">
      <w:bodyDiv w:val="1"/>
      <w:marLeft w:val="0"/>
      <w:marRight w:val="0"/>
      <w:marTop w:val="0"/>
      <w:marBottom w:val="0"/>
      <w:divBdr>
        <w:top w:val="none" w:sz="0" w:space="0" w:color="auto"/>
        <w:left w:val="none" w:sz="0" w:space="0" w:color="auto"/>
        <w:bottom w:val="none" w:sz="0" w:space="0" w:color="auto"/>
        <w:right w:val="none" w:sz="0" w:space="0" w:color="auto"/>
      </w:divBdr>
    </w:div>
    <w:div w:id="433021545">
      <w:bodyDiv w:val="1"/>
      <w:marLeft w:val="0"/>
      <w:marRight w:val="0"/>
      <w:marTop w:val="0"/>
      <w:marBottom w:val="0"/>
      <w:divBdr>
        <w:top w:val="none" w:sz="0" w:space="0" w:color="auto"/>
        <w:left w:val="none" w:sz="0" w:space="0" w:color="auto"/>
        <w:bottom w:val="none" w:sz="0" w:space="0" w:color="auto"/>
        <w:right w:val="none" w:sz="0" w:space="0" w:color="auto"/>
      </w:divBdr>
    </w:div>
    <w:div w:id="461726116">
      <w:bodyDiv w:val="1"/>
      <w:marLeft w:val="0"/>
      <w:marRight w:val="0"/>
      <w:marTop w:val="0"/>
      <w:marBottom w:val="0"/>
      <w:divBdr>
        <w:top w:val="none" w:sz="0" w:space="0" w:color="auto"/>
        <w:left w:val="none" w:sz="0" w:space="0" w:color="auto"/>
        <w:bottom w:val="none" w:sz="0" w:space="0" w:color="auto"/>
        <w:right w:val="none" w:sz="0" w:space="0" w:color="auto"/>
      </w:divBdr>
    </w:div>
    <w:div w:id="474178240">
      <w:bodyDiv w:val="1"/>
      <w:marLeft w:val="0"/>
      <w:marRight w:val="0"/>
      <w:marTop w:val="0"/>
      <w:marBottom w:val="0"/>
      <w:divBdr>
        <w:top w:val="none" w:sz="0" w:space="0" w:color="auto"/>
        <w:left w:val="none" w:sz="0" w:space="0" w:color="auto"/>
        <w:bottom w:val="none" w:sz="0" w:space="0" w:color="auto"/>
        <w:right w:val="none" w:sz="0" w:space="0" w:color="auto"/>
      </w:divBdr>
    </w:div>
    <w:div w:id="529956440">
      <w:bodyDiv w:val="1"/>
      <w:marLeft w:val="0"/>
      <w:marRight w:val="0"/>
      <w:marTop w:val="0"/>
      <w:marBottom w:val="0"/>
      <w:divBdr>
        <w:top w:val="none" w:sz="0" w:space="0" w:color="auto"/>
        <w:left w:val="none" w:sz="0" w:space="0" w:color="auto"/>
        <w:bottom w:val="none" w:sz="0" w:space="0" w:color="auto"/>
        <w:right w:val="none" w:sz="0" w:space="0" w:color="auto"/>
      </w:divBdr>
    </w:div>
    <w:div w:id="551427987">
      <w:bodyDiv w:val="1"/>
      <w:marLeft w:val="0"/>
      <w:marRight w:val="0"/>
      <w:marTop w:val="0"/>
      <w:marBottom w:val="0"/>
      <w:divBdr>
        <w:top w:val="none" w:sz="0" w:space="0" w:color="auto"/>
        <w:left w:val="none" w:sz="0" w:space="0" w:color="auto"/>
        <w:bottom w:val="none" w:sz="0" w:space="0" w:color="auto"/>
        <w:right w:val="none" w:sz="0" w:space="0" w:color="auto"/>
      </w:divBdr>
    </w:div>
    <w:div w:id="555894278">
      <w:bodyDiv w:val="1"/>
      <w:marLeft w:val="0"/>
      <w:marRight w:val="0"/>
      <w:marTop w:val="0"/>
      <w:marBottom w:val="0"/>
      <w:divBdr>
        <w:top w:val="none" w:sz="0" w:space="0" w:color="auto"/>
        <w:left w:val="none" w:sz="0" w:space="0" w:color="auto"/>
        <w:bottom w:val="none" w:sz="0" w:space="0" w:color="auto"/>
        <w:right w:val="none" w:sz="0" w:space="0" w:color="auto"/>
      </w:divBdr>
    </w:div>
    <w:div w:id="558250346">
      <w:bodyDiv w:val="1"/>
      <w:marLeft w:val="0"/>
      <w:marRight w:val="0"/>
      <w:marTop w:val="0"/>
      <w:marBottom w:val="0"/>
      <w:divBdr>
        <w:top w:val="none" w:sz="0" w:space="0" w:color="auto"/>
        <w:left w:val="none" w:sz="0" w:space="0" w:color="auto"/>
        <w:bottom w:val="none" w:sz="0" w:space="0" w:color="auto"/>
        <w:right w:val="none" w:sz="0" w:space="0" w:color="auto"/>
      </w:divBdr>
    </w:div>
    <w:div w:id="581991015">
      <w:bodyDiv w:val="1"/>
      <w:marLeft w:val="0"/>
      <w:marRight w:val="0"/>
      <w:marTop w:val="0"/>
      <w:marBottom w:val="0"/>
      <w:divBdr>
        <w:top w:val="none" w:sz="0" w:space="0" w:color="auto"/>
        <w:left w:val="none" w:sz="0" w:space="0" w:color="auto"/>
        <w:bottom w:val="none" w:sz="0" w:space="0" w:color="auto"/>
        <w:right w:val="none" w:sz="0" w:space="0" w:color="auto"/>
      </w:divBdr>
    </w:div>
    <w:div w:id="586381656">
      <w:bodyDiv w:val="1"/>
      <w:marLeft w:val="0"/>
      <w:marRight w:val="0"/>
      <w:marTop w:val="0"/>
      <w:marBottom w:val="0"/>
      <w:divBdr>
        <w:top w:val="none" w:sz="0" w:space="0" w:color="auto"/>
        <w:left w:val="none" w:sz="0" w:space="0" w:color="auto"/>
        <w:bottom w:val="none" w:sz="0" w:space="0" w:color="auto"/>
        <w:right w:val="none" w:sz="0" w:space="0" w:color="auto"/>
      </w:divBdr>
    </w:div>
    <w:div w:id="593830433">
      <w:bodyDiv w:val="1"/>
      <w:marLeft w:val="0"/>
      <w:marRight w:val="0"/>
      <w:marTop w:val="0"/>
      <w:marBottom w:val="0"/>
      <w:divBdr>
        <w:top w:val="none" w:sz="0" w:space="0" w:color="auto"/>
        <w:left w:val="none" w:sz="0" w:space="0" w:color="auto"/>
        <w:bottom w:val="none" w:sz="0" w:space="0" w:color="auto"/>
        <w:right w:val="none" w:sz="0" w:space="0" w:color="auto"/>
      </w:divBdr>
    </w:div>
    <w:div w:id="595331194">
      <w:bodyDiv w:val="1"/>
      <w:marLeft w:val="0"/>
      <w:marRight w:val="0"/>
      <w:marTop w:val="0"/>
      <w:marBottom w:val="0"/>
      <w:divBdr>
        <w:top w:val="none" w:sz="0" w:space="0" w:color="auto"/>
        <w:left w:val="none" w:sz="0" w:space="0" w:color="auto"/>
        <w:bottom w:val="none" w:sz="0" w:space="0" w:color="auto"/>
        <w:right w:val="none" w:sz="0" w:space="0" w:color="auto"/>
      </w:divBdr>
    </w:div>
    <w:div w:id="602030574">
      <w:bodyDiv w:val="1"/>
      <w:marLeft w:val="0"/>
      <w:marRight w:val="0"/>
      <w:marTop w:val="0"/>
      <w:marBottom w:val="0"/>
      <w:divBdr>
        <w:top w:val="none" w:sz="0" w:space="0" w:color="auto"/>
        <w:left w:val="none" w:sz="0" w:space="0" w:color="auto"/>
        <w:bottom w:val="none" w:sz="0" w:space="0" w:color="auto"/>
        <w:right w:val="none" w:sz="0" w:space="0" w:color="auto"/>
      </w:divBdr>
    </w:div>
    <w:div w:id="603345065">
      <w:bodyDiv w:val="1"/>
      <w:marLeft w:val="0"/>
      <w:marRight w:val="0"/>
      <w:marTop w:val="0"/>
      <w:marBottom w:val="0"/>
      <w:divBdr>
        <w:top w:val="none" w:sz="0" w:space="0" w:color="auto"/>
        <w:left w:val="none" w:sz="0" w:space="0" w:color="auto"/>
        <w:bottom w:val="none" w:sz="0" w:space="0" w:color="auto"/>
        <w:right w:val="none" w:sz="0" w:space="0" w:color="auto"/>
      </w:divBdr>
    </w:div>
    <w:div w:id="629750666">
      <w:bodyDiv w:val="1"/>
      <w:marLeft w:val="0"/>
      <w:marRight w:val="0"/>
      <w:marTop w:val="0"/>
      <w:marBottom w:val="0"/>
      <w:divBdr>
        <w:top w:val="none" w:sz="0" w:space="0" w:color="auto"/>
        <w:left w:val="none" w:sz="0" w:space="0" w:color="auto"/>
        <w:bottom w:val="none" w:sz="0" w:space="0" w:color="auto"/>
        <w:right w:val="none" w:sz="0" w:space="0" w:color="auto"/>
      </w:divBdr>
    </w:div>
    <w:div w:id="636494268">
      <w:bodyDiv w:val="1"/>
      <w:marLeft w:val="0"/>
      <w:marRight w:val="0"/>
      <w:marTop w:val="0"/>
      <w:marBottom w:val="0"/>
      <w:divBdr>
        <w:top w:val="none" w:sz="0" w:space="0" w:color="auto"/>
        <w:left w:val="none" w:sz="0" w:space="0" w:color="auto"/>
        <w:bottom w:val="none" w:sz="0" w:space="0" w:color="auto"/>
        <w:right w:val="none" w:sz="0" w:space="0" w:color="auto"/>
      </w:divBdr>
    </w:div>
    <w:div w:id="639961396">
      <w:bodyDiv w:val="1"/>
      <w:marLeft w:val="0"/>
      <w:marRight w:val="0"/>
      <w:marTop w:val="0"/>
      <w:marBottom w:val="0"/>
      <w:divBdr>
        <w:top w:val="none" w:sz="0" w:space="0" w:color="auto"/>
        <w:left w:val="none" w:sz="0" w:space="0" w:color="auto"/>
        <w:bottom w:val="none" w:sz="0" w:space="0" w:color="auto"/>
        <w:right w:val="none" w:sz="0" w:space="0" w:color="auto"/>
      </w:divBdr>
    </w:div>
    <w:div w:id="688528479">
      <w:bodyDiv w:val="1"/>
      <w:marLeft w:val="0"/>
      <w:marRight w:val="0"/>
      <w:marTop w:val="0"/>
      <w:marBottom w:val="0"/>
      <w:divBdr>
        <w:top w:val="none" w:sz="0" w:space="0" w:color="auto"/>
        <w:left w:val="none" w:sz="0" w:space="0" w:color="auto"/>
        <w:bottom w:val="none" w:sz="0" w:space="0" w:color="auto"/>
        <w:right w:val="none" w:sz="0" w:space="0" w:color="auto"/>
      </w:divBdr>
    </w:div>
    <w:div w:id="690031034">
      <w:bodyDiv w:val="1"/>
      <w:marLeft w:val="0"/>
      <w:marRight w:val="0"/>
      <w:marTop w:val="0"/>
      <w:marBottom w:val="0"/>
      <w:divBdr>
        <w:top w:val="none" w:sz="0" w:space="0" w:color="auto"/>
        <w:left w:val="none" w:sz="0" w:space="0" w:color="auto"/>
        <w:bottom w:val="none" w:sz="0" w:space="0" w:color="auto"/>
        <w:right w:val="none" w:sz="0" w:space="0" w:color="auto"/>
      </w:divBdr>
    </w:div>
    <w:div w:id="710957036">
      <w:bodyDiv w:val="1"/>
      <w:marLeft w:val="0"/>
      <w:marRight w:val="0"/>
      <w:marTop w:val="0"/>
      <w:marBottom w:val="0"/>
      <w:divBdr>
        <w:top w:val="none" w:sz="0" w:space="0" w:color="auto"/>
        <w:left w:val="none" w:sz="0" w:space="0" w:color="auto"/>
        <w:bottom w:val="none" w:sz="0" w:space="0" w:color="auto"/>
        <w:right w:val="none" w:sz="0" w:space="0" w:color="auto"/>
      </w:divBdr>
    </w:div>
    <w:div w:id="736166457">
      <w:bodyDiv w:val="1"/>
      <w:marLeft w:val="0"/>
      <w:marRight w:val="0"/>
      <w:marTop w:val="0"/>
      <w:marBottom w:val="0"/>
      <w:divBdr>
        <w:top w:val="none" w:sz="0" w:space="0" w:color="auto"/>
        <w:left w:val="none" w:sz="0" w:space="0" w:color="auto"/>
        <w:bottom w:val="none" w:sz="0" w:space="0" w:color="auto"/>
        <w:right w:val="none" w:sz="0" w:space="0" w:color="auto"/>
      </w:divBdr>
    </w:div>
    <w:div w:id="745109205">
      <w:bodyDiv w:val="1"/>
      <w:marLeft w:val="0"/>
      <w:marRight w:val="0"/>
      <w:marTop w:val="0"/>
      <w:marBottom w:val="0"/>
      <w:divBdr>
        <w:top w:val="none" w:sz="0" w:space="0" w:color="auto"/>
        <w:left w:val="none" w:sz="0" w:space="0" w:color="auto"/>
        <w:bottom w:val="none" w:sz="0" w:space="0" w:color="auto"/>
        <w:right w:val="none" w:sz="0" w:space="0" w:color="auto"/>
      </w:divBdr>
    </w:div>
    <w:div w:id="778066669">
      <w:bodyDiv w:val="1"/>
      <w:marLeft w:val="0"/>
      <w:marRight w:val="0"/>
      <w:marTop w:val="0"/>
      <w:marBottom w:val="0"/>
      <w:divBdr>
        <w:top w:val="none" w:sz="0" w:space="0" w:color="auto"/>
        <w:left w:val="none" w:sz="0" w:space="0" w:color="auto"/>
        <w:bottom w:val="none" w:sz="0" w:space="0" w:color="auto"/>
        <w:right w:val="none" w:sz="0" w:space="0" w:color="auto"/>
      </w:divBdr>
    </w:div>
    <w:div w:id="786505333">
      <w:bodyDiv w:val="1"/>
      <w:marLeft w:val="0"/>
      <w:marRight w:val="0"/>
      <w:marTop w:val="0"/>
      <w:marBottom w:val="0"/>
      <w:divBdr>
        <w:top w:val="none" w:sz="0" w:space="0" w:color="auto"/>
        <w:left w:val="none" w:sz="0" w:space="0" w:color="auto"/>
        <w:bottom w:val="none" w:sz="0" w:space="0" w:color="auto"/>
        <w:right w:val="none" w:sz="0" w:space="0" w:color="auto"/>
      </w:divBdr>
    </w:div>
    <w:div w:id="797383175">
      <w:bodyDiv w:val="1"/>
      <w:marLeft w:val="0"/>
      <w:marRight w:val="0"/>
      <w:marTop w:val="0"/>
      <w:marBottom w:val="0"/>
      <w:divBdr>
        <w:top w:val="none" w:sz="0" w:space="0" w:color="auto"/>
        <w:left w:val="none" w:sz="0" w:space="0" w:color="auto"/>
        <w:bottom w:val="none" w:sz="0" w:space="0" w:color="auto"/>
        <w:right w:val="none" w:sz="0" w:space="0" w:color="auto"/>
      </w:divBdr>
    </w:div>
    <w:div w:id="799956367">
      <w:bodyDiv w:val="1"/>
      <w:marLeft w:val="0"/>
      <w:marRight w:val="0"/>
      <w:marTop w:val="0"/>
      <w:marBottom w:val="0"/>
      <w:divBdr>
        <w:top w:val="none" w:sz="0" w:space="0" w:color="auto"/>
        <w:left w:val="none" w:sz="0" w:space="0" w:color="auto"/>
        <w:bottom w:val="none" w:sz="0" w:space="0" w:color="auto"/>
        <w:right w:val="none" w:sz="0" w:space="0" w:color="auto"/>
      </w:divBdr>
    </w:div>
    <w:div w:id="800416337">
      <w:bodyDiv w:val="1"/>
      <w:marLeft w:val="0"/>
      <w:marRight w:val="0"/>
      <w:marTop w:val="0"/>
      <w:marBottom w:val="0"/>
      <w:divBdr>
        <w:top w:val="none" w:sz="0" w:space="0" w:color="auto"/>
        <w:left w:val="none" w:sz="0" w:space="0" w:color="auto"/>
        <w:bottom w:val="none" w:sz="0" w:space="0" w:color="auto"/>
        <w:right w:val="none" w:sz="0" w:space="0" w:color="auto"/>
      </w:divBdr>
    </w:div>
    <w:div w:id="802624965">
      <w:bodyDiv w:val="1"/>
      <w:marLeft w:val="0"/>
      <w:marRight w:val="0"/>
      <w:marTop w:val="0"/>
      <w:marBottom w:val="0"/>
      <w:divBdr>
        <w:top w:val="none" w:sz="0" w:space="0" w:color="auto"/>
        <w:left w:val="none" w:sz="0" w:space="0" w:color="auto"/>
        <w:bottom w:val="none" w:sz="0" w:space="0" w:color="auto"/>
        <w:right w:val="none" w:sz="0" w:space="0" w:color="auto"/>
      </w:divBdr>
    </w:div>
    <w:div w:id="808595373">
      <w:bodyDiv w:val="1"/>
      <w:marLeft w:val="0"/>
      <w:marRight w:val="0"/>
      <w:marTop w:val="0"/>
      <w:marBottom w:val="0"/>
      <w:divBdr>
        <w:top w:val="none" w:sz="0" w:space="0" w:color="auto"/>
        <w:left w:val="none" w:sz="0" w:space="0" w:color="auto"/>
        <w:bottom w:val="none" w:sz="0" w:space="0" w:color="auto"/>
        <w:right w:val="none" w:sz="0" w:space="0" w:color="auto"/>
      </w:divBdr>
    </w:div>
    <w:div w:id="808669307">
      <w:bodyDiv w:val="1"/>
      <w:marLeft w:val="0"/>
      <w:marRight w:val="0"/>
      <w:marTop w:val="0"/>
      <w:marBottom w:val="0"/>
      <w:divBdr>
        <w:top w:val="none" w:sz="0" w:space="0" w:color="auto"/>
        <w:left w:val="none" w:sz="0" w:space="0" w:color="auto"/>
        <w:bottom w:val="none" w:sz="0" w:space="0" w:color="auto"/>
        <w:right w:val="none" w:sz="0" w:space="0" w:color="auto"/>
      </w:divBdr>
    </w:div>
    <w:div w:id="812792729">
      <w:bodyDiv w:val="1"/>
      <w:marLeft w:val="0"/>
      <w:marRight w:val="0"/>
      <w:marTop w:val="0"/>
      <w:marBottom w:val="0"/>
      <w:divBdr>
        <w:top w:val="none" w:sz="0" w:space="0" w:color="auto"/>
        <w:left w:val="none" w:sz="0" w:space="0" w:color="auto"/>
        <w:bottom w:val="none" w:sz="0" w:space="0" w:color="auto"/>
        <w:right w:val="none" w:sz="0" w:space="0" w:color="auto"/>
      </w:divBdr>
    </w:div>
    <w:div w:id="820581255">
      <w:bodyDiv w:val="1"/>
      <w:marLeft w:val="0"/>
      <w:marRight w:val="0"/>
      <w:marTop w:val="0"/>
      <w:marBottom w:val="0"/>
      <w:divBdr>
        <w:top w:val="none" w:sz="0" w:space="0" w:color="auto"/>
        <w:left w:val="none" w:sz="0" w:space="0" w:color="auto"/>
        <w:bottom w:val="none" w:sz="0" w:space="0" w:color="auto"/>
        <w:right w:val="none" w:sz="0" w:space="0" w:color="auto"/>
      </w:divBdr>
    </w:div>
    <w:div w:id="830559391">
      <w:bodyDiv w:val="1"/>
      <w:marLeft w:val="0"/>
      <w:marRight w:val="0"/>
      <w:marTop w:val="0"/>
      <w:marBottom w:val="0"/>
      <w:divBdr>
        <w:top w:val="none" w:sz="0" w:space="0" w:color="auto"/>
        <w:left w:val="none" w:sz="0" w:space="0" w:color="auto"/>
        <w:bottom w:val="none" w:sz="0" w:space="0" w:color="auto"/>
        <w:right w:val="none" w:sz="0" w:space="0" w:color="auto"/>
      </w:divBdr>
    </w:div>
    <w:div w:id="836387052">
      <w:bodyDiv w:val="1"/>
      <w:marLeft w:val="0"/>
      <w:marRight w:val="0"/>
      <w:marTop w:val="0"/>
      <w:marBottom w:val="0"/>
      <w:divBdr>
        <w:top w:val="none" w:sz="0" w:space="0" w:color="auto"/>
        <w:left w:val="none" w:sz="0" w:space="0" w:color="auto"/>
        <w:bottom w:val="none" w:sz="0" w:space="0" w:color="auto"/>
        <w:right w:val="none" w:sz="0" w:space="0" w:color="auto"/>
      </w:divBdr>
    </w:div>
    <w:div w:id="843863643">
      <w:bodyDiv w:val="1"/>
      <w:marLeft w:val="0"/>
      <w:marRight w:val="0"/>
      <w:marTop w:val="0"/>
      <w:marBottom w:val="0"/>
      <w:divBdr>
        <w:top w:val="none" w:sz="0" w:space="0" w:color="auto"/>
        <w:left w:val="none" w:sz="0" w:space="0" w:color="auto"/>
        <w:bottom w:val="none" w:sz="0" w:space="0" w:color="auto"/>
        <w:right w:val="none" w:sz="0" w:space="0" w:color="auto"/>
      </w:divBdr>
    </w:div>
    <w:div w:id="851144545">
      <w:bodyDiv w:val="1"/>
      <w:marLeft w:val="0"/>
      <w:marRight w:val="0"/>
      <w:marTop w:val="0"/>
      <w:marBottom w:val="0"/>
      <w:divBdr>
        <w:top w:val="none" w:sz="0" w:space="0" w:color="auto"/>
        <w:left w:val="none" w:sz="0" w:space="0" w:color="auto"/>
        <w:bottom w:val="none" w:sz="0" w:space="0" w:color="auto"/>
        <w:right w:val="none" w:sz="0" w:space="0" w:color="auto"/>
      </w:divBdr>
    </w:div>
    <w:div w:id="860166014">
      <w:bodyDiv w:val="1"/>
      <w:marLeft w:val="0"/>
      <w:marRight w:val="0"/>
      <w:marTop w:val="0"/>
      <w:marBottom w:val="0"/>
      <w:divBdr>
        <w:top w:val="none" w:sz="0" w:space="0" w:color="auto"/>
        <w:left w:val="none" w:sz="0" w:space="0" w:color="auto"/>
        <w:bottom w:val="none" w:sz="0" w:space="0" w:color="auto"/>
        <w:right w:val="none" w:sz="0" w:space="0" w:color="auto"/>
      </w:divBdr>
    </w:div>
    <w:div w:id="897059711">
      <w:bodyDiv w:val="1"/>
      <w:marLeft w:val="0"/>
      <w:marRight w:val="0"/>
      <w:marTop w:val="0"/>
      <w:marBottom w:val="0"/>
      <w:divBdr>
        <w:top w:val="none" w:sz="0" w:space="0" w:color="auto"/>
        <w:left w:val="none" w:sz="0" w:space="0" w:color="auto"/>
        <w:bottom w:val="none" w:sz="0" w:space="0" w:color="auto"/>
        <w:right w:val="none" w:sz="0" w:space="0" w:color="auto"/>
      </w:divBdr>
    </w:div>
    <w:div w:id="909778795">
      <w:bodyDiv w:val="1"/>
      <w:marLeft w:val="0"/>
      <w:marRight w:val="0"/>
      <w:marTop w:val="0"/>
      <w:marBottom w:val="0"/>
      <w:divBdr>
        <w:top w:val="none" w:sz="0" w:space="0" w:color="auto"/>
        <w:left w:val="none" w:sz="0" w:space="0" w:color="auto"/>
        <w:bottom w:val="none" w:sz="0" w:space="0" w:color="auto"/>
        <w:right w:val="none" w:sz="0" w:space="0" w:color="auto"/>
      </w:divBdr>
    </w:div>
    <w:div w:id="929315711">
      <w:bodyDiv w:val="1"/>
      <w:marLeft w:val="0"/>
      <w:marRight w:val="0"/>
      <w:marTop w:val="0"/>
      <w:marBottom w:val="0"/>
      <w:divBdr>
        <w:top w:val="none" w:sz="0" w:space="0" w:color="auto"/>
        <w:left w:val="none" w:sz="0" w:space="0" w:color="auto"/>
        <w:bottom w:val="none" w:sz="0" w:space="0" w:color="auto"/>
        <w:right w:val="none" w:sz="0" w:space="0" w:color="auto"/>
      </w:divBdr>
    </w:div>
    <w:div w:id="956105301">
      <w:bodyDiv w:val="1"/>
      <w:marLeft w:val="0"/>
      <w:marRight w:val="0"/>
      <w:marTop w:val="0"/>
      <w:marBottom w:val="0"/>
      <w:divBdr>
        <w:top w:val="none" w:sz="0" w:space="0" w:color="auto"/>
        <w:left w:val="none" w:sz="0" w:space="0" w:color="auto"/>
        <w:bottom w:val="none" w:sz="0" w:space="0" w:color="auto"/>
        <w:right w:val="none" w:sz="0" w:space="0" w:color="auto"/>
      </w:divBdr>
    </w:div>
    <w:div w:id="959797876">
      <w:bodyDiv w:val="1"/>
      <w:marLeft w:val="0"/>
      <w:marRight w:val="0"/>
      <w:marTop w:val="0"/>
      <w:marBottom w:val="0"/>
      <w:divBdr>
        <w:top w:val="none" w:sz="0" w:space="0" w:color="auto"/>
        <w:left w:val="none" w:sz="0" w:space="0" w:color="auto"/>
        <w:bottom w:val="none" w:sz="0" w:space="0" w:color="auto"/>
        <w:right w:val="none" w:sz="0" w:space="0" w:color="auto"/>
      </w:divBdr>
    </w:div>
    <w:div w:id="974605801">
      <w:bodyDiv w:val="1"/>
      <w:marLeft w:val="0"/>
      <w:marRight w:val="0"/>
      <w:marTop w:val="0"/>
      <w:marBottom w:val="0"/>
      <w:divBdr>
        <w:top w:val="none" w:sz="0" w:space="0" w:color="auto"/>
        <w:left w:val="none" w:sz="0" w:space="0" w:color="auto"/>
        <w:bottom w:val="none" w:sz="0" w:space="0" w:color="auto"/>
        <w:right w:val="none" w:sz="0" w:space="0" w:color="auto"/>
      </w:divBdr>
    </w:div>
    <w:div w:id="984243622">
      <w:bodyDiv w:val="1"/>
      <w:marLeft w:val="0"/>
      <w:marRight w:val="0"/>
      <w:marTop w:val="0"/>
      <w:marBottom w:val="0"/>
      <w:divBdr>
        <w:top w:val="none" w:sz="0" w:space="0" w:color="auto"/>
        <w:left w:val="none" w:sz="0" w:space="0" w:color="auto"/>
        <w:bottom w:val="none" w:sz="0" w:space="0" w:color="auto"/>
        <w:right w:val="none" w:sz="0" w:space="0" w:color="auto"/>
      </w:divBdr>
    </w:div>
    <w:div w:id="985399438">
      <w:bodyDiv w:val="1"/>
      <w:marLeft w:val="0"/>
      <w:marRight w:val="0"/>
      <w:marTop w:val="0"/>
      <w:marBottom w:val="0"/>
      <w:divBdr>
        <w:top w:val="none" w:sz="0" w:space="0" w:color="auto"/>
        <w:left w:val="none" w:sz="0" w:space="0" w:color="auto"/>
        <w:bottom w:val="none" w:sz="0" w:space="0" w:color="auto"/>
        <w:right w:val="none" w:sz="0" w:space="0" w:color="auto"/>
      </w:divBdr>
    </w:div>
    <w:div w:id="988246162">
      <w:bodyDiv w:val="1"/>
      <w:marLeft w:val="0"/>
      <w:marRight w:val="0"/>
      <w:marTop w:val="0"/>
      <w:marBottom w:val="0"/>
      <w:divBdr>
        <w:top w:val="none" w:sz="0" w:space="0" w:color="auto"/>
        <w:left w:val="none" w:sz="0" w:space="0" w:color="auto"/>
        <w:bottom w:val="none" w:sz="0" w:space="0" w:color="auto"/>
        <w:right w:val="none" w:sz="0" w:space="0" w:color="auto"/>
      </w:divBdr>
    </w:div>
    <w:div w:id="999233193">
      <w:bodyDiv w:val="1"/>
      <w:marLeft w:val="0"/>
      <w:marRight w:val="0"/>
      <w:marTop w:val="0"/>
      <w:marBottom w:val="0"/>
      <w:divBdr>
        <w:top w:val="none" w:sz="0" w:space="0" w:color="auto"/>
        <w:left w:val="none" w:sz="0" w:space="0" w:color="auto"/>
        <w:bottom w:val="none" w:sz="0" w:space="0" w:color="auto"/>
        <w:right w:val="none" w:sz="0" w:space="0" w:color="auto"/>
      </w:divBdr>
    </w:div>
    <w:div w:id="1020935220">
      <w:bodyDiv w:val="1"/>
      <w:marLeft w:val="0"/>
      <w:marRight w:val="0"/>
      <w:marTop w:val="0"/>
      <w:marBottom w:val="0"/>
      <w:divBdr>
        <w:top w:val="none" w:sz="0" w:space="0" w:color="auto"/>
        <w:left w:val="none" w:sz="0" w:space="0" w:color="auto"/>
        <w:bottom w:val="none" w:sz="0" w:space="0" w:color="auto"/>
        <w:right w:val="none" w:sz="0" w:space="0" w:color="auto"/>
      </w:divBdr>
    </w:div>
    <w:div w:id="1051422023">
      <w:bodyDiv w:val="1"/>
      <w:marLeft w:val="0"/>
      <w:marRight w:val="0"/>
      <w:marTop w:val="0"/>
      <w:marBottom w:val="0"/>
      <w:divBdr>
        <w:top w:val="none" w:sz="0" w:space="0" w:color="auto"/>
        <w:left w:val="none" w:sz="0" w:space="0" w:color="auto"/>
        <w:bottom w:val="none" w:sz="0" w:space="0" w:color="auto"/>
        <w:right w:val="none" w:sz="0" w:space="0" w:color="auto"/>
      </w:divBdr>
    </w:div>
    <w:div w:id="1064185830">
      <w:bodyDiv w:val="1"/>
      <w:marLeft w:val="0"/>
      <w:marRight w:val="0"/>
      <w:marTop w:val="0"/>
      <w:marBottom w:val="0"/>
      <w:divBdr>
        <w:top w:val="none" w:sz="0" w:space="0" w:color="auto"/>
        <w:left w:val="none" w:sz="0" w:space="0" w:color="auto"/>
        <w:bottom w:val="none" w:sz="0" w:space="0" w:color="auto"/>
        <w:right w:val="none" w:sz="0" w:space="0" w:color="auto"/>
      </w:divBdr>
    </w:div>
    <w:div w:id="1100680871">
      <w:bodyDiv w:val="1"/>
      <w:marLeft w:val="0"/>
      <w:marRight w:val="0"/>
      <w:marTop w:val="0"/>
      <w:marBottom w:val="0"/>
      <w:divBdr>
        <w:top w:val="none" w:sz="0" w:space="0" w:color="auto"/>
        <w:left w:val="none" w:sz="0" w:space="0" w:color="auto"/>
        <w:bottom w:val="none" w:sz="0" w:space="0" w:color="auto"/>
        <w:right w:val="none" w:sz="0" w:space="0" w:color="auto"/>
      </w:divBdr>
    </w:div>
    <w:div w:id="1139566767">
      <w:bodyDiv w:val="1"/>
      <w:marLeft w:val="0"/>
      <w:marRight w:val="0"/>
      <w:marTop w:val="0"/>
      <w:marBottom w:val="0"/>
      <w:divBdr>
        <w:top w:val="none" w:sz="0" w:space="0" w:color="auto"/>
        <w:left w:val="none" w:sz="0" w:space="0" w:color="auto"/>
        <w:bottom w:val="none" w:sz="0" w:space="0" w:color="auto"/>
        <w:right w:val="none" w:sz="0" w:space="0" w:color="auto"/>
      </w:divBdr>
    </w:div>
    <w:div w:id="1146895478">
      <w:bodyDiv w:val="1"/>
      <w:marLeft w:val="0"/>
      <w:marRight w:val="0"/>
      <w:marTop w:val="0"/>
      <w:marBottom w:val="0"/>
      <w:divBdr>
        <w:top w:val="none" w:sz="0" w:space="0" w:color="auto"/>
        <w:left w:val="none" w:sz="0" w:space="0" w:color="auto"/>
        <w:bottom w:val="none" w:sz="0" w:space="0" w:color="auto"/>
        <w:right w:val="none" w:sz="0" w:space="0" w:color="auto"/>
      </w:divBdr>
    </w:div>
    <w:div w:id="1146897359">
      <w:bodyDiv w:val="1"/>
      <w:marLeft w:val="0"/>
      <w:marRight w:val="0"/>
      <w:marTop w:val="0"/>
      <w:marBottom w:val="0"/>
      <w:divBdr>
        <w:top w:val="none" w:sz="0" w:space="0" w:color="auto"/>
        <w:left w:val="none" w:sz="0" w:space="0" w:color="auto"/>
        <w:bottom w:val="none" w:sz="0" w:space="0" w:color="auto"/>
        <w:right w:val="none" w:sz="0" w:space="0" w:color="auto"/>
      </w:divBdr>
    </w:div>
    <w:div w:id="1149902105">
      <w:bodyDiv w:val="1"/>
      <w:marLeft w:val="0"/>
      <w:marRight w:val="0"/>
      <w:marTop w:val="0"/>
      <w:marBottom w:val="0"/>
      <w:divBdr>
        <w:top w:val="none" w:sz="0" w:space="0" w:color="auto"/>
        <w:left w:val="none" w:sz="0" w:space="0" w:color="auto"/>
        <w:bottom w:val="none" w:sz="0" w:space="0" w:color="auto"/>
        <w:right w:val="none" w:sz="0" w:space="0" w:color="auto"/>
      </w:divBdr>
    </w:div>
    <w:div w:id="1205217352">
      <w:bodyDiv w:val="1"/>
      <w:marLeft w:val="0"/>
      <w:marRight w:val="0"/>
      <w:marTop w:val="0"/>
      <w:marBottom w:val="0"/>
      <w:divBdr>
        <w:top w:val="none" w:sz="0" w:space="0" w:color="auto"/>
        <w:left w:val="none" w:sz="0" w:space="0" w:color="auto"/>
        <w:bottom w:val="none" w:sz="0" w:space="0" w:color="auto"/>
        <w:right w:val="none" w:sz="0" w:space="0" w:color="auto"/>
      </w:divBdr>
    </w:div>
    <w:div w:id="1234898044">
      <w:bodyDiv w:val="1"/>
      <w:marLeft w:val="0"/>
      <w:marRight w:val="0"/>
      <w:marTop w:val="0"/>
      <w:marBottom w:val="0"/>
      <w:divBdr>
        <w:top w:val="none" w:sz="0" w:space="0" w:color="auto"/>
        <w:left w:val="none" w:sz="0" w:space="0" w:color="auto"/>
        <w:bottom w:val="none" w:sz="0" w:space="0" w:color="auto"/>
        <w:right w:val="none" w:sz="0" w:space="0" w:color="auto"/>
      </w:divBdr>
    </w:div>
    <w:div w:id="1236235299">
      <w:bodyDiv w:val="1"/>
      <w:marLeft w:val="0"/>
      <w:marRight w:val="0"/>
      <w:marTop w:val="0"/>
      <w:marBottom w:val="0"/>
      <w:divBdr>
        <w:top w:val="none" w:sz="0" w:space="0" w:color="auto"/>
        <w:left w:val="none" w:sz="0" w:space="0" w:color="auto"/>
        <w:bottom w:val="none" w:sz="0" w:space="0" w:color="auto"/>
        <w:right w:val="none" w:sz="0" w:space="0" w:color="auto"/>
      </w:divBdr>
    </w:div>
    <w:div w:id="1324048587">
      <w:bodyDiv w:val="1"/>
      <w:marLeft w:val="0"/>
      <w:marRight w:val="0"/>
      <w:marTop w:val="0"/>
      <w:marBottom w:val="0"/>
      <w:divBdr>
        <w:top w:val="none" w:sz="0" w:space="0" w:color="auto"/>
        <w:left w:val="none" w:sz="0" w:space="0" w:color="auto"/>
        <w:bottom w:val="none" w:sz="0" w:space="0" w:color="auto"/>
        <w:right w:val="none" w:sz="0" w:space="0" w:color="auto"/>
      </w:divBdr>
    </w:div>
    <w:div w:id="1331055946">
      <w:bodyDiv w:val="1"/>
      <w:marLeft w:val="0"/>
      <w:marRight w:val="0"/>
      <w:marTop w:val="0"/>
      <w:marBottom w:val="0"/>
      <w:divBdr>
        <w:top w:val="none" w:sz="0" w:space="0" w:color="auto"/>
        <w:left w:val="none" w:sz="0" w:space="0" w:color="auto"/>
        <w:bottom w:val="none" w:sz="0" w:space="0" w:color="auto"/>
        <w:right w:val="none" w:sz="0" w:space="0" w:color="auto"/>
      </w:divBdr>
    </w:div>
    <w:div w:id="1353799683">
      <w:bodyDiv w:val="1"/>
      <w:marLeft w:val="0"/>
      <w:marRight w:val="0"/>
      <w:marTop w:val="0"/>
      <w:marBottom w:val="0"/>
      <w:divBdr>
        <w:top w:val="none" w:sz="0" w:space="0" w:color="auto"/>
        <w:left w:val="none" w:sz="0" w:space="0" w:color="auto"/>
        <w:bottom w:val="none" w:sz="0" w:space="0" w:color="auto"/>
        <w:right w:val="none" w:sz="0" w:space="0" w:color="auto"/>
      </w:divBdr>
    </w:div>
    <w:div w:id="1380401867">
      <w:bodyDiv w:val="1"/>
      <w:marLeft w:val="0"/>
      <w:marRight w:val="0"/>
      <w:marTop w:val="0"/>
      <w:marBottom w:val="0"/>
      <w:divBdr>
        <w:top w:val="none" w:sz="0" w:space="0" w:color="auto"/>
        <w:left w:val="none" w:sz="0" w:space="0" w:color="auto"/>
        <w:bottom w:val="none" w:sz="0" w:space="0" w:color="auto"/>
        <w:right w:val="none" w:sz="0" w:space="0" w:color="auto"/>
      </w:divBdr>
    </w:div>
    <w:div w:id="1430615519">
      <w:bodyDiv w:val="1"/>
      <w:marLeft w:val="0"/>
      <w:marRight w:val="0"/>
      <w:marTop w:val="0"/>
      <w:marBottom w:val="0"/>
      <w:divBdr>
        <w:top w:val="none" w:sz="0" w:space="0" w:color="auto"/>
        <w:left w:val="none" w:sz="0" w:space="0" w:color="auto"/>
        <w:bottom w:val="none" w:sz="0" w:space="0" w:color="auto"/>
        <w:right w:val="none" w:sz="0" w:space="0" w:color="auto"/>
      </w:divBdr>
    </w:div>
    <w:div w:id="1453132387">
      <w:bodyDiv w:val="1"/>
      <w:marLeft w:val="0"/>
      <w:marRight w:val="0"/>
      <w:marTop w:val="0"/>
      <w:marBottom w:val="0"/>
      <w:divBdr>
        <w:top w:val="none" w:sz="0" w:space="0" w:color="auto"/>
        <w:left w:val="none" w:sz="0" w:space="0" w:color="auto"/>
        <w:bottom w:val="none" w:sz="0" w:space="0" w:color="auto"/>
        <w:right w:val="none" w:sz="0" w:space="0" w:color="auto"/>
      </w:divBdr>
    </w:div>
    <w:div w:id="1477603934">
      <w:bodyDiv w:val="1"/>
      <w:marLeft w:val="0"/>
      <w:marRight w:val="0"/>
      <w:marTop w:val="0"/>
      <w:marBottom w:val="0"/>
      <w:divBdr>
        <w:top w:val="none" w:sz="0" w:space="0" w:color="auto"/>
        <w:left w:val="none" w:sz="0" w:space="0" w:color="auto"/>
        <w:bottom w:val="none" w:sz="0" w:space="0" w:color="auto"/>
        <w:right w:val="none" w:sz="0" w:space="0" w:color="auto"/>
      </w:divBdr>
    </w:div>
    <w:div w:id="1509978918">
      <w:bodyDiv w:val="1"/>
      <w:marLeft w:val="0"/>
      <w:marRight w:val="0"/>
      <w:marTop w:val="0"/>
      <w:marBottom w:val="0"/>
      <w:divBdr>
        <w:top w:val="none" w:sz="0" w:space="0" w:color="auto"/>
        <w:left w:val="none" w:sz="0" w:space="0" w:color="auto"/>
        <w:bottom w:val="none" w:sz="0" w:space="0" w:color="auto"/>
        <w:right w:val="none" w:sz="0" w:space="0" w:color="auto"/>
      </w:divBdr>
    </w:div>
    <w:div w:id="1520318524">
      <w:bodyDiv w:val="1"/>
      <w:marLeft w:val="0"/>
      <w:marRight w:val="0"/>
      <w:marTop w:val="0"/>
      <w:marBottom w:val="0"/>
      <w:divBdr>
        <w:top w:val="none" w:sz="0" w:space="0" w:color="auto"/>
        <w:left w:val="none" w:sz="0" w:space="0" w:color="auto"/>
        <w:bottom w:val="none" w:sz="0" w:space="0" w:color="auto"/>
        <w:right w:val="none" w:sz="0" w:space="0" w:color="auto"/>
      </w:divBdr>
    </w:div>
    <w:div w:id="1546064477">
      <w:bodyDiv w:val="1"/>
      <w:marLeft w:val="0"/>
      <w:marRight w:val="0"/>
      <w:marTop w:val="0"/>
      <w:marBottom w:val="0"/>
      <w:divBdr>
        <w:top w:val="none" w:sz="0" w:space="0" w:color="auto"/>
        <w:left w:val="none" w:sz="0" w:space="0" w:color="auto"/>
        <w:bottom w:val="none" w:sz="0" w:space="0" w:color="auto"/>
        <w:right w:val="none" w:sz="0" w:space="0" w:color="auto"/>
      </w:divBdr>
    </w:div>
    <w:div w:id="1552810742">
      <w:bodyDiv w:val="1"/>
      <w:marLeft w:val="0"/>
      <w:marRight w:val="0"/>
      <w:marTop w:val="0"/>
      <w:marBottom w:val="0"/>
      <w:divBdr>
        <w:top w:val="none" w:sz="0" w:space="0" w:color="auto"/>
        <w:left w:val="none" w:sz="0" w:space="0" w:color="auto"/>
        <w:bottom w:val="none" w:sz="0" w:space="0" w:color="auto"/>
        <w:right w:val="none" w:sz="0" w:space="0" w:color="auto"/>
      </w:divBdr>
    </w:div>
    <w:div w:id="1569421123">
      <w:bodyDiv w:val="1"/>
      <w:marLeft w:val="0"/>
      <w:marRight w:val="0"/>
      <w:marTop w:val="0"/>
      <w:marBottom w:val="0"/>
      <w:divBdr>
        <w:top w:val="none" w:sz="0" w:space="0" w:color="auto"/>
        <w:left w:val="none" w:sz="0" w:space="0" w:color="auto"/>
        <w:bottom w:val="none" w:sz="0" w:space="0" w:color="auto"/>
        <w:right w:val="none" w:sz="0" w:space="0" w:color="auto"/>
      </w:divBdr>
    </w:div>
    <w:div w:id="1572226751">
      <w:bodyDiv w:val="1"/>
      <w:marLeft w:val="0"/>
      <w:marRight w:val="0"/>
      <w:marTop w:val="0"/>
      <w:marBottom w:val="0"/>
      <w:divBdr>
        <w:top w:val="none" w:sz="0" w:space="0" w:color="auto"/>
        <w:left w:val="none" w:sz="0" w:space="0" w:color="auto"/>
        <w:bottom w:val="none" w:sz="0" w:space="0" w:color="auto"/>
        <w:right w:val="none" w:sz="0" w:space="0" w:color="auto"/>
      </w:divBdr>
    </w:div>
    <w:div w:id="1588810531">
      <w:bodyDiv w:val="1"/>
      <w:marLeft w:val="0"/>
      <w:marRight w:val="0"/>
      <w:marTop w:val="0"/>
      <w:marBottom w:val="0"/>
      <w:divBdr>
        <w:top w:val="none" w:sz="0" w:space="0" w:color="auto"/>
        <w:left w:val="none" w:sz="0" w:space="0" w:color="auto"/>
        <w:bottom w:val="none" w:sz="0" w:space="0" w:color="auto"/>
        <w:right w:val="none" w:sz="0" w:space="0" w:color="auto"/>
      </w:divBdr>
    </w:div>
    <w:div w:id="1629161324">
      <w:bodyDiv w:val="1"/>
      <w:marLeft w:val="0"/>
      <w:marRight w:val="0"/>
      <w:marTop w:val="0"/>
      <w:marBottom w:val="0"/>
      <w:divBdr>
        <w:top w:val="none" w:sz="0" w:space="0" w:color="auto"/>
        <w:left w:val="none" w:sz="0" w:space="0" w:color="auto"/>
        <w:bottom w:val="none" w:sz="0" w:space="0" w:color="auto"/>
        <w:right w:val="none" w:sz="0" w:space="0" w:color="auto"/>
      </w:divBdr>
    </w:div>
    <w:div w:id="1631206706">
      <w:bodyDiv w:val="1"/>
      <w:marLeft w:val="0"/>
      <w:marRight w:val="0"/>
      <w:marTop w:val="0"/>
      <w:marBottom w:val="0"/>
      <w:divBdr>
        <w:top w:val="none" w:sz="0" w:space="0" w:color="auto"/>
        <w:left w:val="none" w:sz="0" w:space="0" w:color="auto"/>
        <w:bottom w:val="none" w:sz="0" w:space="0" w:color="auto"/>
        <w:right w:val="none" w:sz="0" w:space="0" w:color="auto"/>
      </w:divBdr>
    </w:div>
    <w:div w:id="1632855972">
      <w:bodyDiv w:val="1"/>
      <w:marLeft w:val="0"/>
      <w:marRight w:val="0"/>
      <w:marTop w:val="0"/>
      <w:marBottom w:val="0"/>
      <w:divBdr>
        <w:top w:val="none" w:sz="0" w:space="0" w:color="auto"/>
        <w:left w:val="none" w:sz="0" w:space="0" w:color="auto"/>
        <w:bottom w:val="none" w:sz="0" w:space="0" w:color="auto"/>
        <w:right w:val="none" w:sz="0" w:space="0" w:color="auto"/>
      </w:divBdr>
    </w:div>
    <w:div w:id="1647592226">
      <w:bodyDiv w:val="1"/>
      <w:marLeft w:val="0"/>
      <w:marRight w:val="0"/>
      <w:marTop w:val="0"/>
      <w:marBottom w:val="0"/>
      <w:divBdr>
        <w:top w:val="none" w:sz="0" w:space="0" w:color="auto"/>
        <w:left w:val="none" w:sz="0" w:space="0" w:color="auto"/>
        <w:bottom w:val="none" w:sz="0" w:space="0" w:color="auto"/>
        <w:right w:val="none" w:sz="0" w:space="0" w:color="auto"/>
      </w:divBdr>
    </w:div>
    <w:div w:id="1655333054">
      <w:bodyDiv w:val="1"/>
      <w:marLeft w:val="0"/>
      <w:marRight w:val="0"/>
      <w:marTop w:val="0"/>
      <w:marBottom w:val="0"/>
      <w:divBdr>
        <w:top w:val="none" w:sz="0" w:space="0" w:color="auto"/>
        <w:left w:val="none" w:sz="0" w:space="0" w:color="auto"/>
        <w:bottom w:val="none" w:sz="0" w:space="0" w:color="auto"/>
        <w:right w:val="none" w:sz="0" w:space="0" w:color="auto"/>
      </w:divBdr>
    </w:div>
    <w:div w:id="1682703228">
      <w:bodyDiv w:val="1"/>
      <w:marLeft w:val="0"/>
      <w:marRight w:val="0"/>
      <w:marTop w:val="0"/>
      <w:marBottom w:val="0"/>
      <w:divBdr>
        <w:top w:val="none" w:sz="0" w:space="0" w:color="auto"/>
        <w:left w:val="none" w:sz="0" w:space="0" w:color="auto"/>
        <w:bottom w:val="none" w:sz="0" w:space="0" w:color="auto"/>
        <w:right w:val="none" w:sz="0" w:space="0" w:color="auto"/>
      </w:divBdr>
    </w:div>
    <w:div w:id="1703246634">
      <w:bodyDiv w:val="1"/>
      <w:marLeft w:val="0"/>
      <w:marRight w:val="0"/>
      <w:marTop w:val="0"/>
      <w:marBottom w:val="0"/>
      <w:divBdr>
        <w:top w:val="none" w:sz="0" w:space="0" w:color="auto"/>
        <w:left w:val="none" w:sz="0" w:space="0" w:color="auto"/>
        <w:bottom w:val="none" w:sz="0" w:space="0" w:color="auto"/>
        <w:right w:val="none" w:sz="0" w:space="0" w:color="auto"/>
      </w:divBdr>
    </w:div>
    <w:div w:id="1706828015">
      <w:bodyDiv w:val="1"/>
      <w:marLeft w:val="0"/>
      <w:marRight w:val="0"/>
      <w:marTop w:val="0"/>
      <w:marBottom w:val="0"/>
      <w:divBdr>
        <w:top w:val="none" w:sz="0" w:space="0" w:color="auto"/>
        <w:left w:val="none" w:sz="0" w:space="0" w:color="auto"/>
        <w:bottom w:val="none" w:sz="0" w:space="0" w:color="auto"/>
        <w:right w:val="none" w:sz="0" w:space="0" w:color="auto"/>
      </w:divBdr>
    </w:div>
    <w:div w:id="1721854059">
      <w:bodyDiv w:val="1"/>
      <w:marLeft w:val="0"/>
      <w:marRight w:val="0"/>
      <w:marTop w:val="0"/>
      <w:marBottom w:val="0"/>
      <w:divBdr>
        <w:top w:val="none" w:sz="0" w:space="0" w:color="auto"/>
        <w:left w:val="none" w:sz="0" w:space="0" w:color="auto"/>
        <w:bottom w:val="none" w:sz="0" w:space="0" w:color="auto"/>
        <w:right w:val="none" w:sz="0" w:space="0" w:color="auto"/>
      </w:divBdr>
    </w:div>
    <w:div w:id="1725373299">
      <w:bodyDiv w:val="1"/>
      <w:marLeft w:val="0"/>
      <w:marRight w:val="0"/>
      <w:marTop w:val="0"/>
      <w:marBottom w:val="0"/>
      <w:divBdr>
        <w:top w:val="none" w:sz="0" w:space="0" w:color="auto"/>
        <w:left w:val="none" w:sz="0" w:space="0" w:color="auto"/>
        <w:bottom w:val="none" w:sz="0" w:space="0" w:color="auto"/>
        <w:right w:val="none" w:sz="0" w:space="0" w:color="auto"/>
      </w:divBdr>
    </w:div>
    <w:div w:id="1746681646">
      <w:bodyDiv w:val="1"/>
      <w:marLeft w:val="0"/>
      <w:marRight w:val="0"/>
      <w:marTop w:val="0"/>
      <w:marBottom w:val="0"/>
      <w:divBdr>
        <w:top w:val="none" w:sz="0" w:space="0" w:color="auto"/>
        <w:left w:val="none" w:sz="0" w:space="0" w:color="auto"/>
        <w:bottom w:val="none" w:sz="0" w:space="0" w:color="auto"/>
        <w:right w:val="none" w:sz="0" w:space="0" w:color="auto"/>
      </w:divBdr>
    </w:div>
    <w:div w:id="1751000896">
      <w:bodyDiv w:val="1"/>
      <w:marLeft w:val="0"/>
      <w:marRight w:val="0"/>
      <w:marTop w:val="0"/>
      <w:marBottom w:val="0"/>
      <w:divBdr>
        <w:top w:val="none" w:sz="0" w:space="0" w:color="auto"/>
        <w:left w:val="none" w:sz="0" w:space="0" w:color="auto"/>
        <w:bottom w:val="none" w:sz="0" w:space="0" w:color="auto"/>
        <w:right w:val="none" w:sz="0" w:space="0" w:color="auto"/>
      </w:divBdr>
    </w:div>
    <w:div w:id="1753501729">
      <w:bodyDiv w:val="1"/>
      <w:marLeft w:val="0"/>
      <w:marRight w:val="0"/>
      <w:marTop w:val="0"/>
      <w:marBottom w:val="0"/>
      <w:divBdr>
        <w:top w:val="none" w:sz="0" w:space="0" w:color="auto"/>
        <w:left w:val="none" w:sz="0" w:space="0" w:color="auto"/>
        <w:bottom w:val="none" w:sz="0" w:space="0" w:color="auto"/>
        <w:right w:val="none" w:sz="0" w:space="0" w:color="auto"/>
      </w:divBdr>
    </w:div>
    <w:div w:id="1766148679">
      <w:bodyDiv w:val="1"/>
      <w:marLeft w:val="0"/>
      <w:marRight w:val="0"/>
      <w:marTop w:val="0"/>
      <w:marBottom w:val="0"/>
      <w:divBdr>
        <w:top w:val="none" w:sz="0" w:space="0" w:color="auto"/>
        <w:left w:val="none" w:sz="0" w:space="0" w:color="auto"/>
        <w:bottom w:val="none" w:sz="0" w:space="0" w:color="auto"/>
        <w:right w:val="none" w:sz="0" w:space="0" w:color="auto"/>
      </w:divBdr>
    </w:div>
    <w:div w:id="1767312049">
      <w:bodyDiv w:val="1"/>
      <w:marLeft w:val="0"/>
      <w:marRight w:val="0"/>
      <w:marTop w:val="0"/>
      <w:marBottom w:val="0"/>
      <w:divBdr>
        <w:top w:val="none" w:sz="0" w:space="0" w:color="auto"/>
        <w:left w:val="none" w:sz="0" w:space="0" w:color="auto"/>
        <w:bottom w:val="none" w:sz="0" w:space="0" w:color="auto"/>
        <w:right w:val="none" w:sz="0" w:space="0" w:color="auto"/>
      </w:divBdr>
    </w:div>
    <w:div w:id="1782607081">
      <w:bodyDiv w:val="1"/>
      <w:marLeft w:val="0"/>
      <w:marRight w:val="0"/>
      <w:marTop w:val="0"/>
      <w:marBottom w:val="0"/>
      <w:divBdr>
        <w:top w:val="none" w:sz="0" w:space="0" w:color="auto"/>
        <w:left w:val="none" w:sz="0" w:space="0" w:color="auto"/>
        <w:bottom w:val="none" w:sz="0" w:space="0" w:color="auto"/>
        <w:right w:val="none" w:sz="0" w:space="0" w:color="auto"/>
      </w:divBdr>
    </w:div>
    <w:div w:id="1784839471">
      <w:bodyDiv w:val="1"/>
      <w:marLeft w:val="0"/>
      <w:marRight w:val="0"/>
      <w:marTop w:val="0"/>
      <w:marBottom w:val="0"/>
      <w:divBdr>
        <w:top w:val="none" w:sz="0" w:space="0" w:color="auto"/>
        <w:left w:val="none" w:sz="0" w:space="0" w:color="auto"/>
        <w:bottom w:val="none" w:sz="0" w:space="0" w:color="auto"/>
        <w:right w:val="none" w:sz="0" w:space="0" w:color="auto"/>
      </w:divBdr>
    </w:div>
    <w:div w:id="1801653096">
      <w:bodyDiv w:val="1"/>
      <w:marLeft w:val="0"/>
      <w:marRight w:val="0"/>
      <w:marTop w:val="0"/>
      <w:marBottom w:val="0"/>
      <w:divBdr>
        <w:top w:val="none" w:sz="0" w:space="0" w:color="auto"/>
        <w:left w:val="none" w:sz="0" w:space="0" w:color="auto"/>
        <w:bottom w:val="none" w:sz="0" w:space="0" w:color="auto"/>
        <w:right w:val="none" w:sz="0" w:space="0" w:color="auto"/>
      </w:divBdr>
    </w:div>
    <w:div w:id="1805198153">
      <w:bodyDiv w:val="1"/>
      <w:marLeft w:val="0"/>
      <w:marRight w:val="0"/>
      <w:marTop w:val="0"/>
      <w:marBottom w:val="0"/>
      <w:divBdr>
        <w:top w:val="none" w:sz="0" w:space="0" w:color="auto"/>
        <w:left w:val="none" w:sz="0" w:space="0" w:color="auto"/>
        <w:bottom w:val="none" w:sz="0" w:space="0" w:color="auto"/>
        <w:right w:val="none" w:sz="0" w:space="0" w:color="auto"/>
      </w:divBdr>
    </w:div>
    <w:div w:id="1814441470">
      <w:bodyDiv w:val="1"/>
      <w:marLeft w:val="0"/>
      <w:marRight w:val="0"/>
      <w:marTop w:val="0"/>
      <w:marBottom w:val="0"/>
      <w:divBdr>
        <w:top w:val="none" w:sz="0" w:space="0" w:color="auto"/>
        <w:left w:val="none" w:sz="0" w:space="0" w:color="auto"/>
        <w:bottom w:val="none" w:sz="0" w:space="0" w:color="auto"/>
        <w:right w:val="none" w:sz="0" w:space="0" w:color="auto"/>
      </w:divBdr>
    </w:div>
    <w:div w:id="1822651610">
      <w:bodyDiv w:val="1"/>
      <w:marLeft w:val="0"/>
      <w:marRight w:val="0"/>
      <w:marTop w:val="0"/>
      <w:marBottom w:val="0"/>
      <w:divBdr>
        <w:top w:val="none" w:sz="0" w:space="0" w:color="auto"/>
        <w:left w:val="none" w:sz="0" w:space="0" w:color="auto"/>
        <w:bottom w:val="none" w:sz="0" w:space="0" w:color="auto"/>
        <w:right w:val="none" w:sz="0" w:space="0" w:color="auto"/>
      </w:divBdr>
    </w:div>
    <w:div w:id="1829398453">
      <w:bodyDiv w:val="1"/>
      <w:marLeft w:val="0"/>
      <w:marRight w:val="0"/>
      <w:marTop w:val="0"/>
      <w:marBottom w:val="0"/>
      <w:divBdr>
        <w:top w:val="none" w:sz="0" w:space="0" w:color="auto"/>
        <w:left w:val="none" w:sz="0" w:space="0" w:color="auto"/>
        <w:bottom w:val="none" w:sz="0" w:space="0" w:color="auto"/>
        <w:right w:val="none" w:sz="0" w:space="0" w:color="auto"/>
      </w:divBdr>
    </w:div>
    <w:div w:id="1845168536">
      <w:bodyDiv w:val="1"/>
      <w:marLeft w:val="0"/>
      <w:marRight w:val="0"/>
      <w:marTop w:val="0"/>
      <w:marBottom w:val="0"/>
      <w:divBdr>
        <w:top w:val="none" w:sz="0" w:space="0" w:color="auto"/>
        <w:left w:val="none" w:sz="0" w:space="0" w:color="auto"/>
        <w:bottom w:val="none" w:sz="0" w:space="0" w:color="auto"/>
        <w:right w:val="none" w:sz="0" w:space="0" w:color="auto"/>
      </w:divBdr>
    </w:div>
    <w:div w:id="1849056559">
      <w:bodyDiv w:val="1"/>
      <w:marLeft w:val="0"/>
      <w:marRight w:val="0"/>
      <w:marTop w:val="0"/>
      <w:marBottom w:val="0"/>
      <w:divBdr>
        <w:top w:val="none" w:sz="0" w:space="0" w:color="auto"/>
        <w:left w:val="none" w:sz="0" w:space="0" w:color="auto"/>
        <w:bottom w:val="none" w:sz="0" w:space="0" w:color="auto"/>
        <w:right w:val="none" w:sz="0" w:space="0" w:color="auto"/>
      </w:divBdr>
    </w:div>
    <w:div w:id="1850872771">
      <w:bodyDiv w:val="1"/>
      <w:marLeft w:val="0"/>
      <w:marRight w:val="0"/>
      <w:marTop w:val="0"/>
      <w:marBottom w:val="0"/>
      <w:divBdr>
        <w:top w:val="none" w:sz="0" w:space="0" w:color="auto"/>
        <w:left w:val="none" w:sz="0" w:space="0" w:color="auto"/>
        <w:bottom w:val="none" w:sz="0" w:space="0" w:color="auto"/>
        <w:right w:val="none" w:sz="0" w:space="0" w:color="auto"/>
      </w:divBdr>
    </w:div>
    <w:div w:id="1863401794">
      <w:bodyDiv w:val="1"/>
      <w:marLeft w:val="0"/>
      <w:marRight w:val="0"/>
      <w:marTop w:val="0"/>
      <w:marBottom w:val="0"/>
      <w:divBdr>
        <w:top w:val="none" w:sz="0" w:space="0" w:color="auto"/>
        <w:left w:val="none" w:sz="0" w:space="0" w:color="auto"/>
        <w:bottom w:val="none" w:sz="0" w:space="0" w:color="auto"/>
        <w:right w:val="none" w:sz="0" w:space="0" w:color="auto"/>
      </w:divBdr>
    </w:div>
    <w:div w:id="1871338432">
      <w:bodyDiv w:val="1"/>
      <w:marLeft w:val="0"/>
      <w:marRight w:val="0"/>
      <w:marTop w:val="0"/>
      <w:marBottom w:val="0"/>
      <w:divBdr>
        <w:top w:val="none" w:sz="0" w:space="0" w:color="auto"/>
        <w:left w:val="none" w:sz="0" w:space="0" w:color="auto"/>
        <w:bottom w:val="none" w:sz="0" w:space="0" w:color="auto"/>
        <w:right w:val="none" w:sz="0" w:space="0" w:color="auto"/>
      </w:divBdr>
    </w:div>
    <w:div w:id="1872763989">
      <w:bodyDiv w:val="1"/>
      <w:marLeft w:val="0"/>
      <w:marRight w:val="0"/>
      <w:marTop w:val="0"/>
      <w:marBottom w:val="0"/>
      <w:divBdr>
        <w:top w:val="none" w:sz="0" w:space="0" w:color="auto"/>
        <w:left w:val="none" w:sz="0" w:space="0" w:color="auto"/>
        <w:bottom w:val="none" w:sz="0" w:space="0" w:color="auto"/>
        <w:right w:val="none" w:sz="0" w:space="0" w:color="auto"/>
      </w:divBdr>
    </w:div>
    <w:div w:id="1889147006">
      <w:bodyDiv w:val="1"/>
      <w:marLeft w:val="0"/>
      <w:marRight w:val="0"/>
      <w:marTop w:val="0"/>
      <w:marBottom w:val="0"/>
      <w:divBdr>
        <w:top w:val="none" w:sz="0" w:space="0" w:color="auto"/>
        <w:left w:val="none" w:sz="0" w:space="0" w:color="auto"/>
        <w:bottom w:val="none" w:sz="0" w:space="0" w:color="auto"/>
        <w:right w:val="none" w:sz="0" w:space="0" w:color="auto"/>
      </w:divBdr>
    </w:div>
    <w:div w:id="1918241463">
      <w:bodyDiv w:val="1"/>
      <w:marLeft w:val="0"/>
      <w:marRight w:val="0"/>
      <w:marTop w:val="0"/>
      <w:marBottom w:val="0"/>
      <w:divBdr>
        <w:top w:val="none" w:sz="0" w:space="0" w:color="auto"/>
        <w:left w:val="none" w:sz="0" w:space="0" w:color="auto"/>
        <w:bottom w:val="none" w:sz="0" w:space="0" w:color="auto"/>
        <w:right w:val="none" w:sz="0" w:space="0" w:color="auto"/>
      </w:divBdr>
    </w:div>
    <w:div w:id="1926694184">
      <w:bodyDiv w:val="1"/>
      <w:marLeft w:val="0"/>
      <w:marRight w:val="0"/>
      <w:marTop w:val="0"/>
      <w:marBottom w:val="0"/>
      <w:divBdr>
        <w:top w:val="none" w:sz="0" w:space="0" w:color="auto"/>
        <w:left w:val="none" w:sz="0" w:space="0" w:color="auto"/>
        <w:bottom w:val="none" w:sz="0" w:space="0" w:color="auto"/>
        <w:right w:val="none" w:sz="0" w:space="0" w:color="auto"/>
      </w:divBdr>
    </w:div>
    <w:div w:id="1934897995">
      <w:bodyDiv w:val="1"/>
      <w:marLeft w:val="0"/>
      <w:marRight w:val="0"/>
      <w:marTop w:val="0"/>
      <w:marBottom w:val="0"/>
      <w:divBdr>
        <w:top w:val="none" w:sz="0" w:space="0" w:color="auto"/>
        <w:left w:val="none" w:sz="0" w:space="0" w:color="auto"/>
        <w:bottom w:val="none" w:sz="0" w:space="0" w:color="auto"/>
        <w:right w:val="none" w:sz="0" w:space="0" w:color="auto"/>
      </w:divBdr>
    </w:div>
    <w:div w:id="1965572765">
      <w:bodyDiv w:val="1"/>
      <w:marLeft w:val="0"/>
      <w:marRight w:val="0"/>
      <w:marTop w:val="0"/>
      <w:marBottom w:val="0"/>
      <w:divBdr>
        <w:top w:val="none" w:sz="0" w:space="0" w:color="auto"/>
        <w:left w:val="none" w:sz="0" w:space="0" w:color="auto"/>
        <w:bottom w:val="none" w:sz="0" w:space="0" w:color="auto"/>
        <w:right w:val="none" w:sz="0" w:space="0" w:color="auto"/>
      </w:divBdr>
    </w:div>
    <w:div w:id="1969584359">
      <w:bodyDiv w:val="1"/>
      <w:marLeft w:val="0"/>
      <w:marRight w:val="0"/>
      <w:marTop w:val="0"/>
      <w:marBottom w:val="0"/>
      <w:divBdr>
        <w:top w:val="none" w:sz="0" w:space="0" w:color="auto"/>
        <w:left w:val="none" w:sz="0" w:space="0" w:color="auto"/>
        <w:bottom w:val="none" w:sz="0" w:space="0" w:color="auto"/>
        <w:right w:val="none" w:sz="0" w:space="0" w:color="auto"/>
      </w:divBdr>
    </w:div>
    <w:div w:id="1995452730">
      <w:bodyDiv w:val="1"/>
      <w:marLeft w:val="0"/>
      <w:marRight w:val="0"/>
      <w:marTop w:val="0"/>
      <w:marBottom w:val="0"/>
      <w:divBdr>
        <w:top w:val="none" w:sz="0" w:space="0" w:color="auto"/>
        <w:left w:val="none" w:sz="0" w:space="0" w:color="auto"/>
        <w:bottom w:val="none" w:sz="0" w:space="0" w:color="auto"/>
        <w:right w:val="none" w:sz="0" w:space="0" w:color="auto"/>
      </w:divBdr>
    </w:div>
    <w:div w:id="1999650158">
      <w:bodyDiv w:val="1"/>
      <w:marLeft w:val="0"/>
      <w:marRight w:val="0"/>
      <w:marTop w:val="0"/>
      <w:marBottom w:val="0"/>
      <w:divBdr>
        <w:top w:val="none" w:sz="0" w:space="0" w:color="auto"/>
        <w:left w:val="none" w:sz="0" w:space="0" w:color="auto"/>
        <w:bottom w:val="none" w:sz="0" w:space="0" w:color="auto"/>
        <w:right w:val="none" w:sz="0" w:space="0" w:color="auto"/>
      </w:divBdr>
    </w:div>
    <w:div w:id="2024554219">
      <w:bodyDiv w:val="1"/>
      <w:marLeft w:val="0"/>
      <w:marRight w:val="0"/>
      <w:marTop w:val="0"/>
      <w:marBottom w:val="0"/>
      <w:divBdr>
        <w:top w:val="none" w:sz="0" w:space="0" w:color="auto"/>
        <w:left w:val="none" w:sz="0" w:space="0" w:color="auto"/>
        <w:bottom w:val="none" w:sz="0" w:space="0" w:color="auto"/>
        <w:right w:val="none" w:sz="0" w:space="0" w:color="auto"/>
      </w:divBdr>
    </w:div>
    <w:div w:id="2032797748">
      <w:bodyDiv w:val="1"/>
      <w:marLeft w:val="0"/>
      <w:marRight w:val="0"/>
      <w:marTop w:val="0"/>
      <w:marBottom w:val="0"/>
      <w:divBdr>
        <w:top w:val="none" w:sz="0" w:space="0" w:color="auto"/>
        <w:left w:val="none" w:sz="0" w:space="0" w:color="auto"/>
        <w:bottom w:val="none" w:sz="0" w:space="0" w:color="auto"/>
        <w:right w:val="none" w:sz="0" w:space="0" w:color="auto"/>
      </w:divBdr>
    </w:div>
    <w:div w:id="2072657031">
      <w:bodyDiv w:val="1"/>
      <w:marLeft w:val="0"/>
      <w:marRight w:val="0"/>
      <w:marTop w:val="0"/>
      <w:marBottom w:val="0"/>
      <w:divBdr>
        <w:top w:val="none" w:sz="0" w:space="0" w:color="auto"/>
        <w:left w:val="none" w:sz="0" w:space="0" w:color="auto"/>
        <w:bottom w:val="none" w:sz="0" w:space="0" w:color="auto"/>
        <w:right w:val="none" w:sz="0" w:space="0" w:color="auto"/>
      </w:divBdr>
    </w:div>
    <w:div w:id="2086996727">
      <w:bodyDiv w:val="1"/>
      <w:marLeft w:val="0"/>
      <w:marRight w:val="0"/>
      <w:marTop w:val="0"/>
      <w:marBottom w:val="0"/>
      <w:divBdr>
        <w:top w:val="none" w:sz="0" w:space="0" w:color="auto"/>
        <w:left w:val="none" w:sz="0" w:space="0" w:color="auto"/>
        <w:bottom w:val="none" w:sz="0" w:space="0" w:color="auto"/>
        <w:right w:val="none" w:sz="0" w:space="0" w:color="auto"/>
      </w:divBdr>
    </w:div>
    <w:div w:id="2100172783">
      <w:bodyDiv w:val="1"/>
      <w:marLeft w:val="0"/>
      <w:marRight w:val="0"/>
      <w:marTop w:val="0"/>
      <w:marBottom w:val="0"/>
      <w:divBdr>
        <w:top w:val="none" w:sz="0" w:space="0" w:color="auto"/>
        <w:left w:val="none" w:sz="0" w:space="0" w:color="auto"/>
        <w:bottom w:val="none" w:sz="0" w:space="0" w:color="auto"/>
        <w:right w:val="none" w:sz="0" w:space="0" w:color="auto"/>
      </w:divBdr>
    </w:div>
    <w:div w:id="2132045996">
      <w:bodyDiv w:val="1"/>
      <w:marLeft w:val="0"/>
      <w:marRight w:val="0"/>
      <w:marTop w:val="0"/>
      <w:marBottom w:val="0"/>
      <w:divBdr>
        <w:top w:val="none" w:sz="0" w:space="0" w:color="auto"/>
        <w:left w:val="none" w:sz="0" w:space="0" w:color="auto"/>
        <w:bottom w:val="none" w:sz="0" w:space="0" w:color="auto"/>
        <w:right w:val="none" w:sz="0" w:space="0" w:color="auto"/>
      </w:divBdr>
    </w:div>
    <w:div w:id="2137217469">
      <w:bodyDiv w:val="1"/>
      <w:marLeft w:val="0"/>
      <w:marRight w:val="0"/>
      <w:marTop w:val="0"/>
      <w:marBottom w:val="0"/>
      <w:divBdr>
        <w:top w:val="none" w:sz="0" w:space="0" w:color="auto"/>
        <w:left w:val="none" w:sz="0" w:space="0" w:color="auto"/>
        <w:bottom w:val="none" w:sz="0" w:space="0" w:color="auto"/>
        <w:right w:val="none" w:sz="0" w:space="0" w:color="auto"/>
      </w:divBdr>
    </w:div>
    <w:div w:id="21454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alumbo@unisa.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iasullo@unisa.it"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rosalba.manna@uniparthenop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uro.cavallone@unibg.it"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cco%20Palumbo\Desktop\EISIC19CavallonePalumbo\datas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cco%20Palumbo\Desktop\EISIC19CavallonePalumbo\datas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occo%20Palumbo\Desktop\EISIC19CavallonePalumbo\datas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occo%20Palumbo\Desktop\EISIC19CavallonePalumbo\data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9.7398654974657786E-2"/>
          <c:y val="0.11561753933300709"/>
          <c:w val="0.88446349738326224"/>
          <c:h val="0.82466153595207381"/>
        </c:manualLayout>
      </c:layout>
      <c:barChart>
        <c:barDir val="col"/>
        <c:grouping val="clustered"/>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Studenti!$M$1250:$P$1250</c:f>
              <c:strCache>
                <c:ptCount val="4"/>
                <c:pt idx="0">
                  <c:v>Extrinsic factors</c:v>
                </c:pt>
                <c:pt idx="1">
                  <c:v>Intrinsic factors</c:v>
                </c:pt>
                <c:pt idx="2">
                  <c:v>Functional factors</c:v>
                </c:pt>
                <c:pt idx="3">
                  <c:v>Social factors</c:v>
                </c:pt>
              </c:strCache>
            </c:strRef>
          </c:cat>
          <c:val>
            <c:numRef>
              <c:f>Studenti!$M$1251:$P$1251</c:f>
              <c:numCache>
                <c:formatCode>0.00%</c:formatCode>
                <c:ptCount val="4"/>
                <c:pt idx="0">
                  <c:v>0.63870000000000038</c:v>
                </c:pt>
                <c:pt idx="1">
                  <c:v>0.52849999999999997</c:v>
                </c:pt>
                <c:pt idx="2">
                  <c:v>0.15120000000000006</c:v>
                </c:pt>
                <c:pt idx="3">
                  <c:v>0.10780000000000002</c:v>
                </c:pt>
              </c:numCache>
            </c:numRef>
          </c:val>
          <c:extLst xmlns:c16r2="http://schemas.microsoft.com/office/drawing/2015/06/chart">
            <c:ext xmlns:c16="http://schemas.microsoft.com/office/drawing/2014/chart" uri="{C3380CC4-5D6E-409C-BE32-E72D297353CC}">
              <c16:uniqueId val="{00000000-815D-4534-A4DC-B93E9EAE14FB}"/>
            </c:ext>
          </c:extLst>
        </c:ser>
        <c:gapWidth val="164"/>
        <c:overlap val="-22"/>
        <c:axId val="147056512"/>
        <c:axId val="147058048"/>
      </c:barChart>
      <c:catAx>
        <c:axId val="147056512"/>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147058048"/>
        <c:crosses val="autoZero"/>
        <c:auto val="1"/>
        <c:lblAlgn val="ctr"/>
        <c:lblOffset val="100"/>
      </c:catAx>
      <c:valAx>
        <c:axId val="147058048"/>
        <c:scaling>
          <c:orientation val="minMax"/>
          <c:max val="1"/>
        </c:scaling>
        <c:axPos val="l"/>
        <c:numFmt formatCode="0.0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1470565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Studenti!$D$1250:$J$1250</c:f>
              <c:strCache>
                <c:ptCount val="7"/>
                <c:pt idx="0">
                  <c:v>General satisfaction</c:v>
                </c:pt>
                <c:pt idx="1">
                  <c:v>Quality of learning offering</c:v>
                </c:pt>
                <c:pt idx="2">
                  <c:v>Quality of learning spaces</c:v>
                </c:pt>
                <c:pt idx="3">
                  <c:v>Value for money</c:v>
                </c:pt>
                <c:pt idx="4">
                  <c:v>Internationalization degree</c:v>
                </c:pt>
                <c:pt idx="5">
                  <c:v>Support to outstanding students</c:v>
                </c:pt>
                <c:pt idx="6">
                  <c:v>Preparation for the labour market</c:v>
                </c:pt>
              </c:strCache>
            </c:strRef>
          </c:cat>
          <c:val>
            <c:numRef>
              <c:f>Studenti!$D$1251:$J$1251</c:f>
              <c:numCache>
                <c:formatCode>General</c:formatCode>
                <c:ptCount val="7"/>
                <c:pt idx="0">
                  <c:v>7.07</c:v>
                </c:pt>
                <c:pt idx="1">
                  <c:v>6.91</c:v>
                </c:pt>
                <c:pt idx="2">
                  <c:v>6.7700000000000014</c:v>
                </c:pt>
                <c:pt idx="3">
                  <c:v>7.05</c:v>
                </c:pt>
                <c:pt idx="4">
                  <c:v>6.44</c:v>
                </c:pt>
                <c:pt idx="5">
                  <c:v>6.29</c:v>
                </c:pt>
                <c:pt idx="6">
                  <c:v>5.54</c:v>
                </c:pt>
              </c:numCache>
            </c:numRef>
          </c:val>
          <c:extLst xmlns:c16r2="http://schemas.microsoft.com/office/drawing/2015/06/chart">
            <c:ext xmlns:c16="http://schemas.microsoft.com/office/drawing/2014/chart" uri="{C3380CC4-5D6E-409C-BE32-E72D297353CC}">
              <c16:uniqueId val="{00000000-D98B-47A9-8CDB-B2897353CE8B}"/>
            </c:ext>
          </c:extLst>
        </c:ser>
        <c:gapWidth val="164"/>
        <c:overlap val="-22"/>
        <c:axId val="147188736"/>
        <c:axId val="147878656"/>
      </c:barChart>
      <c:catAx>
        <c:axId val="147188736"/>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147878656"/>
        <c:crosses val="autoZero"/>
        <c:auto val="1"/>
        <c:lblAlgn val="ctr"/>
        <c:lblOffset val="100"/>
      </c:catAx>
      <c:valAx>
        <c:axId val="147878656"/>
        <c:scaling>
          <c:orientation val="minMax"/>
          <c:max val="1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1471887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Accademici!$S$236:$V$236</c:f>
              <c:strCache>
                <c:ptCount val="4"/>
                <c:pt idx="0">
                  <c:v>Social factors</c:v>
                </c:pt>
                <c:pt idx="1">
                  <c:v>Emotional factors</c:v>
                </c:pt>
                <c:pt idx="2">
                  <c:v>Epistemic factors</c:v>
                </c:pt>
                <c:pt idx="3">
                  <c:v>Intrinsic factors</c:v>
                </c:pt>
              </c:strCache>
            </c:strRef>
          </c:cat>
          <c:val>
            <c:numRef>
              <c:f>Accademici!$S$237:$V$237</c:f>
              <c:numCache>
                <c:formatCode>0.00%</c:formatCode>
                <c:ptCount val="4"/>
                <c:pt idx="0">
                  <c:v>0.75860000000000039</c:v>
                </c:pt>
                <c:pt idx="1">
                  <c:v>0.49140000000000011</c:v>
                </c:pt>
                <c:pt idx="2">
                  <c:v>0.1983</c:v>
                </c:pt>
                <c:pt idx="3">
                  <c:v>9.0500000000000039E-2</c:v>
                </c:pt>
              </c:numCache>
            </c:numRef>
          </c:val>
          <c:extLst xmlns:c16r2="http://schemas.microsoft.com/office/drawing/2015/06/chart">
            <c:ext xmlns:c16="http://schemas.microsoft.com/office/drawing/2014/chart" uri="{C3380CC4-5D6E-409C-BE32-E72D297353CC}">
              <c16:uniqueId val="{00000000-A0D9-483B-AC1D-79BA19FA51DD}"/>
            </c:ext>
          </c:extLst>
        </c:ser>
        <c:gapWidth val="164"/>
        <c:overlap val="-22"/>
        <c:axId val="147889536"/>
        <c:axId val="147911808"/>
      </c:barChart>
      <c:catAx>
        <c:axId val="147889536"/>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147911808"/>
        <c:crosses val="autoZero"/>
        <c:auto val="1"/>
        <c:lblAlgn val="ctr"/>
        <c:lblOffset val="100"/>
      </c:catAx>
      <c:valAx>
        <c:axId val="147911808"/>
        <c:scaling>
          <c:orientation val="minMax"/>
          <c:max val="1"/>
        </c:scaling>
        <c:axPos val="l"/>
        <c:numFmt formatCode="0.0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1478895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Accademici!$H$238:$N$238</c:f>
              <c:strCache>
                <c:ptCount val="7"/>
                <c:pt idx="0">
                  <c:v>for</c:v>
                </c:pt>
                <c:pt idx="1">
                  <c:v>Quality of learning offering</c:v>
                </c:pt>
                <c:pt idx="2">
                  <c:v>Quality of learning spaces</c:v>
                </c:pt>
                <c:pt idx="3">
                  <c:v>Value for money</c:v>
                </c:pt>
                <c:pt idx="4">
                  <c:v>Internationalization degree</c:v>
                </c:pt>
                <c:pt idx="5">
                  <c:v>Support to outstanding scholars</c:v>
                </c:pt>
                <c:pt idx="6">
                  <c:v>Web platforms and information systems</c:v>
                </c:pt>
              </c:strCache>
            </c:strRef>
          </c:cat>
          <c:val>
            <c:numRef>
              <c:f>Accademici!$H$239:$N$239</c:f>
              <c:numCache>
                <c:formatCode>General</c:formatCode>
                <c:ptCount val="7"/>
                <c:pt idx="0">
                  <c:v>8.1300000000000008</c:v>
                </c:pt>
                <c:pt idx="1">
                  <c:v>6.68</c:v>
                </c:pt>
                <c:pt idx="2">
                  <c:v>7.71</c:v>
                </c:pt>
                <c:pt idx="3">
                  <c:v>7.1199999999999983</c:v>
                </c:pt>
                <c:pt idx="4">
                  <c:v>6.52</c:v>
                </c:pt>
                <c:pt idx="5">
                  <c:v>5.89</c:v>
                </c:pt>
                <c:pt idx="6">
                  <c:v>5.64</c:v>
                </c:pt>
              </c:numCache>
            </c:numRef>
          </c:val>
          <c:extLst xmlns:c16r2="http://schemas.microsoft.com/office/drawing/2015/06/chart">
            <c:ext xmlns:c16="http://schemas.microsoft.com/office/drawing/2014/chart" uri="{C3380CC4-5D6E-409C-BE32-E72D297353CC}">
              <c16:uniqueId val="{00000000-71FA-44FB-AB48-78351802370B}"/>
            </c:ext>
          </c:extLst>
        </c:ser>
        <c:gapWidth val="164"/>
        <c:overlap val="-22"/>
        <c:axId val="168248064"/>
        <c:axId val="168249600"/>
      </c:barChart>
      <c:catAx>
        <c:axId val="168248064"/>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168249600"/>
        <c:crosses val="autoZero"/>
        <c:auto val="1"/>
        <c:lblAlgn val="ctr"/>
        <c:lblOffset val="100"/>
      </c:catAx>
      <c:valAx>
        <c:axId val="168249600"/>
        <c:scaling>
          <c:orientation val="minMax"/>
          <c:max val="1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1682480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Bra183</b:Tag>
    <b:SourceType>Book</b:SourceType>
    <b:Guid>{C681D7D9-A7E3-44C3-A2E3-5E05930BF4F8}</b:Guid>
    <b:Title>Co-production and co-creation: Engaging citizens in public services</b:Title>
    <b:Year>2018</b:Year>
    <b:Author>
      <b:Author>
        <b:NameList>
          <b:Person>
            <b:Last>Brandsen</b:Last>
            <b:First>Taco</b:First>
          </b:Person>
          <b:Person>
            <b:Last>Verschuere</b:Last>
            <b:First>Bram</b:First>
          </b:Person>
          <b:Person>
            <b:Last>Steen</b:Last>
            <b:First>Trui</b:First>
          </b:Person>
        </b:NameList>
      </b:Author>
    </b:Author>
    <b:City>New York</b:City>
    <b:Publisher>Routledge</b:Publisher>
    <b:RefOrder>1</b:RefOrder>
  </b:Source>
  <b:Source>
    <b:Tag>Ord08</b:Tag>
    <b:SourceType>JournalArticle</b:SourceType>
    <b:Guid>{330DC50E-376B-4CF2-AD17-3F4FD3421D15}</b:Guid>
    <b:Title>Service co-production and value co-creation: The case for a service-oriented architecture (SOA)</b:Title>
    <b:Year>2008</b:Year>
    <b:Author>
      <b:Author>
        <b:NameList>
          <b:Person>
            <b:Last>Ordanini</b:Last>
            <b:First>Andrea</b:First>
          </b:Person>
          <b:Person>
            <b:Last>Pasini</b:Last>
            <b:First>Paolo</b:First>
          </b:Person>
        </b:NameList>
      </b:Author>
    </b:Author>
    <b:JournalName>European Management Journal</b:JournalName>
    <b:Pages>289-297</b:Pages>
    <b:RefOrder>2</b:RefOrder>
  </b:Source>
  <b:Source>
    <b:Tag>Ver121</b:Tag>
    <b:SourceType>JournalArticle</b:SourceType>
    <b:Guid>{9E703E97-AF98-4902-87E5-513757B8E7C6}</b:Guid>
    <b:Title>Co-production: The State of the Art in Research and the Future Agenda</b:Title>
    <b:JournalName>Voluntas: International Journal of Voluntary and Nonprofit Organizations</b:JournalName>
    <b:Year>2012</b:Year>
    <b:Pages>1083–1101</b:Pages>
    <b:Volume>23</b:Volume>
    <b:Issue>4</b:Issue>
    <b:Author>
      <b:Author>
        <b:NameList>
          <b:Person>
            <b:Last>Verschuere</b:Last>
            <b:First>Bram</b:First>
          </b:Person>
          <b:Person>
            <b:Last>Brandsen</b:Last>
            <b:First>Taco</b:First>
          </b:Person>
          <b:Person>
            <b:Last>Pestoff</b:Last>
            <b:First>Victor</b:First>
          </b:Person>
        </b:NameList>
      </b:Author>
    </b:Author>
    <b:RefOrder>3</b:RefOrder>
  </b:Source>
  <b:Source>
    <b:Tag>Grö11</b:Tag>
    <b:SourceType>JournalArticle</b:SourceType>
    <b:Guid>{43A40281-5A18-40F2-BF36-1B351EF5F84C}</b:Guid>
    <b:Title>Value co-creation in service logic: A critical analysis</b:Title>
    <b:JournalName>Marketing Theory</b:JournalName>
    <b:Year>2011</b:Year>
    <b:Pages>279-301</b:Pages>
    <b:Volume>11</b:Volume>
    <b:Issue>3</b:Issue>
    <b:Author>
      <b:Author>
        <b:NameList>
          <b:Person>
            <b:Last>Grönroos</b:Last>
            <b:First>Christian</b:First>
          </b:Person>
        </b:NameList>
      </b:Author>
    </b:Author>
    <b:RefOrder>4</b:RefOrder>
  </b:Source>
  <b:Source>
    <b:Tag>Cia171</b:Tag>
    <b:SourceType>JournalArticle</b:SourceType>
    <b:Guid>{087D2595-573B-4007-A347-A5A6CE435BB4}</b:Guid>
    <b:Title>Reading Public Service Co-Production through the Lenses of Requisite Variety</b:Title>
    <b:JournalName>International Journal of Business and Management</b:JournalName>
    <b:Year>2017</b:Year>
    <b:Pages>1-13</b:Pages>
    <b:Volume>12</b:Volume>
    <b:Issue>2</b:Issue>
    <b:Author>
      <b:Author>
        <b:NameList>
          <b:Person>
            <b:Last>Ciasullo</b:Last>
            <b:First>Maria</b:First>
            <b:Middle>Vincenza</b:Middle>
          </b:Person>
          <b:Person>
            <b:Last>Palumbo</b:Last>
            <b:First>Rocco</b:First>
          </b:Person>
          <b:Person>
            <b:Last>Troisi</b:Last>
            <b:First>Orlando</b:First>
          </b:Person>
        </b:NameList>
      </b:Author>
    </b:Author>
    <b:RefOrder>5</b:RefOrder>
  </b:Source>
  <b:Source>
    <b:Tag>Ran161</b:Tag>
    <b:SourceType>JournalArticle</b:SourceType>
    <b:Guid>{15E99279-301F-4638-8BB1-4B30FE23EF88}</b:Guid>
    <b:Title>Value co-creation: concept and measurement</b:Title>
    <b:JournalName>Journal of the Academy of Marketing Science</b:JournalName>
    <b:Year>2016</b:Year>
    <b:Pages>290–315</b:Pages>
    <b:Volume>44</b:Volume>
    <b:Issue>3</b:Issue>
    <b:Author>
      <b:Author>
        <b:NameList>
          <b:Person>
            <b:Last>Ranjan</b:Last>
            <b:First>Kumar</b:First>
            <b:Middle>Rakesh</b:Middle>
          </b:Person>
          <b:Person>
            <b:Last>Read</b:Last>
            <b:First>Stuart</b:First>
          </b:Person>
        </b:NameList>
      </b:Author>
    </b:Author>
    <b:RefOrder>6</b:RefOrder>
  </b:Source>
  <b:Source>
    <b:Tag>Jak13</b:Tag>
    <b:SourceType>JournalArticle</b:SourceType>
    <b:Guid>{5DB86BB0-3587-4861-B990-B85EC35B4150}</b:Guid>
    <b:Author>
      <b:Author>
        <b:NameList>
          <b:Person>
            <b:Last>Jakobsen</b:Last>
            <b:First>Morten</b:First>
          </b:Person>
          <b:Person>
            <b:Last>Andersen</b:Last>
            <b:First>Simon</b:First>
            <b:Middle>Calmar</b:Middle>
          </b:Person>
        </b:NameList>
      </b:Author>
    </b:Author>
    <b:Title>Coproduction and Equity in Public Service Delivery</b:Title>
    <b:JournalName>Public Administration Review</b:JournalName>
    <b:Year>2013</b:Year>
    <b:Pages>704-713</b:Pages>
    <b:Volume>73</b:Volume>
    <b:Issue>5</b:Issue>
    <b:RefOrder>7</b:RefOrder>
  </b:Source>
  <b:Source>
    <b:Tag>Coa14</b:Tag>
    <b:SourceType>Book</b:SourceType>
    <b:Guid>{F5658C4A-5568-4ED7-8FE3-E7F2B651CC9C}</b:Guid>
    <b:Author>
      <b:Author>
        <b:NameList>
          <b:Person>
            <b:Last>Coates</b:Last>
            <b:First>Hamish</b:First>
          </b:Person>
          <b:Person>
            <b:Last>McCormick</b:Last>
            <b:First>Alexander</b:First>
            <b:Middle>C.</b:Middle>
          </b:Person>
        </b:NameList>
      </b:Author>
    </b:Author>
    <b:Title>Engaging University Students. International Insights from System-Wide Studies</b:Title>
    <b:Year>2014</b:Year>
    <b:City>Singapore</b:City>
    <b:Publisher>Springer</b:Publisher>
    <b:RefOrder>8</b:RefOrder>
  </b:Source>
  <b:Source>
    <b:Tag>Pal184</b:Tag>
    <b:SourceType>JournalArticle</b:SourceType>
    <b:Guid>{FE2D3A6E-C824-4340-8084-0ECE46BF4D3D}</b:Guid>
    <b:Author>
      <b:Author>
        <b:NameList>
          <b:Person>
            <b:Last>Palumbo</b:Last>
            <b:First>Rocco</b:First>
          </b:Person>
          <b:Person>
            <b:Last>Vezzosi</b:Last>
            <b:First>Stefania</b:First>
          </b:Person>
          <b:Person>
            <b:Last>Picciolli</b:Last>
            <b:First>Paola</b:First>
          </b:Person>
          <b:Person>
            <b:Last>Landini</b:Last>
            <b:First>Alessandro</b:First>
          </b:Person>
          <b:Person>
            <b:Last>Annarumma</b:Last>
            <b:First>Carmela</b:First>
          </b:Person>
          <b:Person>
            <b:Last>Manna</b:Last>
            <b:First>Rosalba</b:First>
          </b:Person>
        </b:NameList>
      </b:Author>
    </b:Author>
    <b:Title>Fostering organizational change through co-production. Insights from an Italian experience</b:Title>
    <b:JournalName>International Review on Public and Nonprofit Marketing</b:JournalName>
    <b:Year>2018</b:Year>
    <b:Pages>371-391</b:Pages>
    <b:Volume>15</b:Volume>
    <b:Issue>3</b:Issue>
    <b:RefOrder>9</b:RefOrder>
  </b:Source>
  <b:Source>
    <b:Tag>Bos97</b:Tag>
    <b:SourceType>JournalArticle</b:SourceType>
    <b:Guid>{1C94907E-5A2F-42D0-94C3-87F3ED354383}</b:Guid>
    <b:Title>The inclusive school: Integrating diversity and solidarity through community‐based management</b:Title>
    <b:Year>1997</b:Year>
    <b:Author>
      <b:Author>
        <b:NameList>
          <b:Person>
            <b:Last>Boscardin</b:Last>
            <b:First>Mary</b:First>
            <b:Middle>Lynn</b:Middle>
          </b:Person>
          <b:Person>
            <b:Last>Jacobson</b:Last>
            <b:First>Stephen</b:First>
          </b:Person>
        </b:NameList>
      </b:Author>
    </b:Author>
    <b:JournalName>Journal of Educational Administration</b:JournalName>
    <b:Pages>466-476</b:Pages>
    <b:Volume>35</b:Volume>
    <b:Issue>5</b:Issue>
    <b:RefOrder>10</b:RefOrder>
  </b:Source>
  <b:Source>
    <b:Tag>Plé10</b:Tag>
    <b:SourceType>JournalArticle</b:SourceType>
    <b:Guid>{023D8DE2-611B-460D-A086-7AD7D5B718DF}</b:Guid>
    <b:Author>
      <b:Author>
        <b:NameList>
          <b:Person>
            <b:Last>Plé</b:Last>
            <b:First>L.</b:First>
          </b:Person>
          <b:Person>
            <b:Last>Cáceres</b:Last>
            <b:First>R.</b:First>
            <b:Middle>C.</b:Middle>
          </b:Person>
        </b:NameList>
      </b:Author>
    </b:Author>
    <b:Title>Not always co-creation: Introducing interactional co-destruction of value in service-dominant logic</b:Title>
    <b:JournalName>Journal of Services Marketing</b:JournalName>
    <b:Year>2010</b:Year>
    <b:Pages>430-437</b:Pages>
    <b:Volume>24</b:Volume>
    <b:Issue>6</b:Issue>
    <b:RefOrder>11</b:RefOrder>
  </b:Source>
  <b:Source>
    <b:Tag>Ech11</b:Tag>
    <b:SourceType>JournalArticle</b:SourceType>
    <b:Guid>{646161C1-21DA-41CE-AF72-127701A9B6F4}</b:Guid>
    <b:Author>
      <b:Author>
        <b:NameList>
          <b:Person>
            <b:Last>Echeverri</b:Last>
            <b:First>Per</b:First>
          </b:Person>
          <b:Person>
            <b:Last>Skålén</b:Last>
            <b:First>P.</b:First>
          </b:Person>
        </b:NameList>
      </b:Author>
    </b:Author>
    <b:Title>Co-creation and co-destruction: A practice-theory based study of interactive value formation</b:Title>
    <b:JournalName>Marketing Theory</b:JournalName>
    <b:Year>2011</b:Year>
    <b:Pages>351-373</b:Pages>
    <b:Volume>11</b:Volume>
    <b:Issue>3</b:Issue>
    <b:RefOrder>12</b:RefOrder>
  </b:Source>
  <b:Source>
    <b:Tag>Hil121</b:Tag>
    <b:SourceType>JournalArticle</b:SourceType>
    <b:Guid>{58B3AD05-1940-424B-BD68-2B28967EA801}</b:Guid>
    <b:Author>
      <b:Author>
        <b:NameList>
          <b:Person>
            <b:Last>Hilton</b:Last>
            <b:First>Toni</b:First>
          </b:Person>
          <b:Person>
            <b:Last>Hughes</b:Last>
            <b:First>Tim</b:First>
          </b:Person>
          <b:Person>
            <b:Last>Chalcraft</b:Last>
            <b:First>David</b:First>
          </b:Person>
        </b:NameList>
      </b:Author>
    </b:Author>
    <b:Title>Service co-creation and value realisation</b:Title>
    <b:JournalName>Journal of Marketing Management</b:JournalName>
    <b:Year>2012</b:Year>
    <b:Pages>1504-1519</b:Pages>
    <b:Volume>28</b:Volume>
    <b:Issue>13/14</b:Issue>
    <b:RefOrder>13</b:RefOrder>
  </b:Source>
  <b:Source>
    <b:Tag>Día12</b:Tag>
    <b:SourceType>JournalArticle</b:SourceType>
    <b:Guid>{D7543487-4A5A-47E4-9386-27EDB54D9949}</b:Guid>
    <b:Title>Value co‐creation and university teaching quality: Consequences for the European Higher Education Area (EHEA)</b:Title>
    <b:JournalName>Journal of Service Management</b:JournalName>
    <b:Year>2012</b:Year>
    <b:Pages>571-592</b:Pages>
    <b:Volume>23</b:Volume>
    <b:Issue>4</b:Issue>
    <b:Author>
      <b:Author>
        <b:NameList>
          <b:Person>
            <b:Last>Díaz‐Méndez</b:Last>
            <b:First>Montserrat</b:First>
          </b:Person>
          <b:Person>
            <b:Last>Gummesson</b:Last>
            <b:First>Evert</b:First>
          </b:Person>
        </b:NameList>
      </b:Author>
    </b:Author>
    <b:RefOrder>14</b:RefOrder>
  </b:Source>
  <b:Source>
    <b:Tag>Bar11</b:Tag>
    <b:SourceType>JournalArticle</b:SourceType>
    <b:Guid>{EB33A281-E31D-4ABA-8E3F-8BA4D9099DC1}</b:Guid>
    <b:Author>
      <b:Author>
        <b:NameList>
          <b:Person>
            <b:Last>Baron</b:Last>
            <b:First>Steve</b:First>
          </b:Person>
          <b:Person>
            <b:Last>Warnaby</b:Last>
            <b:First>Gary</b:First>
          </b:Person>
        </b:NameList>
      </b:Author>
    </b:Author>
    <b:Title>Individual customers' use and integration of resources: Empirical findings and organizational implications in the context of value co-creation</b:Title>
    <b:JournalName>Industrial Marketing Management</b:JournalName>
    <b:Year>2011</b:Year>
    <b:Pages>211-218</b:Pages>
    <b:Volume>40</b:Volume>
    <b:Issue>2</b:Issue>
    <b:RefOrder>15</b:RefOrder>
  </b:Source>
  <b:Source>
    <b:Tag>Hau16</b:Tag>
    <b:SourceType>JournalArticle</b:SourceType>
    <b:Guid>{91CF33F3-82FC-4006-AD9E-B7829098428D}</b:Guid>
    <b:Title>Customer participation to co-create value in human transformative services: a study of higher education and health care services</b:Title>
    <b:JournalName>Service Business</b:JournalName>
    <b:Year>2016</b:Year>
    <b:Pages>603–628</b:Pages>
    <b:Volume>10</b:Volume>
    <b:Issue>3</b:Issue>
    <b:Author>
      <b:Author>
        <b:NameList>
          <b:Person>
            <b:Last>Hau</b:Last>
            <b:First>Le</b:First>
            <b:Middle>Nguyen</b:Middle>
          </b:Person>
          <b:Person>
            <b:Last>Thuy</b:Last>
            <b:First>Pham</b:First>
            <b:Middle>Ngoc</b:Middle>
          </b:Person>
        </b:NameList>
      </b:Author>
    </b:Author>
    <b:RefOrder>16</b:RefOrder>
  </b:Source>
  <b:Source>
    <b:Tag>Bar171</b:Tag>
    <b:SourceType>JournalArticle</b:SourceType>
    <b:Guid>{6C765110-B418-4919-91E8-E8DCB45FEEC9}</b:Guid>
    <b:Title>Committed to learn: student engagement and care in higher education</b:Title>
    <b:JournalName>Higher Education Research &amp; Development</b:JournalName>
    <b:Year>2017</b:Year>
    <b:Pages>1326-1338</b:Pages>
    <b:Volume>36</b:Volume>
    <b:Issue>7</b:Issue>
    <b:Author>
      <b:Author>
        <b:NameList>
          <b:Person>
            <b:Last>Barnacle</b:Last>
            <b:First>Robyn</b:First>
          </b:Person>
          <b:Person>
            <b:Last>Dall’Alba</b:Last>
            <b:First>Gloria</b:First>
          </b:Person>
        </b:NameList>
      </b:Author>
    </b:Author>
    <b:RefOrder>17</b:RefOrder>
  </b:Source>
  <b:Source>
    <b:Tag>Bry16</b:Tag>
    <b:SourceType>JournalArticle</b:SourceType>
    <b:Guid>{DE17310A-2512-4B97-88F8-0E18F75C451E}</b:Guid>
    <b:Author>
      <b:Author>
        <b:NameList>
          <b:Person>
            <b:Last>Bryson</b:Last>
            <b:First>Colin</b:First>
          </b:Person>
        </b:NameList>
      </b:Author>
    </b:Author>
    <b:Title>Engagement through partnership: students as partners in learning and teaching in higher education</b:Title>
    <b:JournalName>International Journal for Academic Development</b:JournalName>
    <b:Year>2016</b:Year>
    <b:Pages>84-86</b:Pages>
    <b:Volume>21</b:Volume>
    <b:Issue>1</b:Issue>
    <b:RefOrder>18</b:RefOrder>
  </b:Source>
  <b:Source>
    <b:Tag>Bro15</b:Tag>
    <b:SourceType>JournalArticle</b:SourceType>
    <b:Guid>{8B42982E-4742-4E8E-8AA7-CE300491B388}</b:Guid>
    <b:Author>
      <b:Author>
        <b:NameList>
          <b:Person>
            <b:Last>Brooman</b:Last>
            <b:First>S.</b:First>
          </b:Person>
          <b:Person>
            <b:Last>Darwent</b:Last>
            <b:First>S.</b:First>
          </b:Person>
          <b:Person>
            <b:Last>Pimor</b:Last>
            <b:First>A.</b:First>
          </b:Person>
        </b:NameList>
      </b:Author>
    </b:Author>
    <b:Title>The student voice in higher education curriculum design: is there value in listening?</b:Title>
    <b:JournalName>Innovations in Education and Teaching International</b:JournalName>
    <b:Year>2015</b:Year>
    <b:Pages>663-674</b:Pages>
    <b:Volume>52</b:Volume>
    <b:Issue>6</b:Issue>
    <b:RefOrder>19</b:RefOrder>
  </b:Source>
  <b:Source>
    <b:Tag>Ben171</b:Tag>
    <b:SourceType>JournalArticle</b:SourceType>
    <b:Guid>{527EF9D8-4C54-4B75-BBC9-EF8552115CCD}</b:Guid>
    <b:Title>Unravelling quality culture in higher education: a realist review</b:Title>
    <b:JournalName>Higher Education</b:JournalName>
    <b:Year>2017</b:Year>
    <b:Pages>39-60</b:Pages>
    <b:Volume>73</b:Volume>
    <b:Issue>1</b:Issue>
    <b:Author>
      <b:Author>
        <b:NameList>
          <b:Person>
            <b:Last>Bendermacher</b:Last>
            <b:First>G.</b:First>
            <b:Middle>W. G.</b:Middle>
          </b:Person>
          <b:Person>
            <b:Last>oude EgbrinkI</b:Last>
            <b:First>M.</b:First>
            <b:Middle>G. A.</b:Middle>
          </b:Person>
          <b:Person>
            <b:Last>Wolfhagen</b:Last>
            <b:First>H.</b:First>
            <b:Middle>A. P.</b:Middle>
          </b:Person>
          <b:Person>
            <b:Last>Dolmans</b:Last>
            <b:First>D.</b:First>
            <b:Middle>H. J. M.</b:Middle>
          </b:Person>
        </b:NameList>
      </b:Author>
    </b:Author>
    <b:RefOrder>20</b:RefOrder>
  </b:Source>
  <b:Source>
    <b:Tag>Bri96</b:Tag>
    <b:SourceType>JournalArticle</b:SourceType>
    <b:Guid>{311BDF68-6BCE-4809-AC7B-BCE5E645A716}</b:Guid>
    <b:Author>
      <b:Author>
        <b:NameList>
          <b:Person>
            <b:Last>Bringle</b:Last>
            <b:First>Robert</b:First>
            <b:Middle>G.</b:Middle>
          </b:Person>
          <b:Person>
            <b:Last>Hatcher</b:Last>
            <b:First>Julie</b:First>
            <b:Middle>A.</b:Middle>
          </b:Person>
        </b:NameList>
      </b:Author>
    </b:Author>
    <b:Title>Implementing Service Learning in Higher Education</b:Title>
    <b:JournalName>Journal of Higher Education</b:JournalName>
    <b:Year>1996</b:Year>
    <b:Pages>221-239</b:Pages>
    <b:RefOrder>21</b:RefOrder>
  </b:Source>
  <b:Source>
    <b:Tag>Ber182</b:Tag>
    <b:SourceType>JournalArticle</b:SourceType>
    <b:Guid>{10A042FC-71B7-4344-89C7-2B15CBBC1156}</b:Guid>
    <b:Author>
      <b:Author>
        <b:NameList>
          <b:Person>
            <b:Last>Bergmark</b:Last>
            <b:First>Ulrika</b:First>
          </b:Person>
          <b:Person>
            <b:Last>Westman</b:Last>
            <b:First>Susanne</b:First>
          </b:Person>
        </b:NameList>
      </b:Author>
    </b:Author>
    <b:Title>Student participation within teacher education: emphasising democratic values, engagement and learning for a future profession</b:Title>
    <b:JournalName>Higher Education Research &amp; Development</b:JournalName>
    <b:Year>2018</b:Year>
    <b:Pages>1352-1365</b:Pages>
    <b:Volume>37</b:Volume>
    <b:Issue>7</b:Issue>
    <b:RefOrder>22</b:RefOrder>
  </b:Source>
  <b:Source>
    <b:Tag>Sha17</b:Tag>
    <b:SourceType>JournalArticle</b:SourceType>
    <b:Guid>{9D73E3B4-995D-41D7-A4F3-EE8B2C194B24}</b:Guid>
    <b:Title>The Student Participation Map: A tool to map student participations, engagements, opportunities and extra-curricular activities across a Higher Education Institution</b:Title>
    <b:JournalName>Dialogue: Journal of Learning and Teaching</b:JournalName>
    <b:Year>2017</b:Year>
    <b:Pages>45-50</b:Pages>
    <b:Volume>1</b:Volume>
    <b:Issue>1</b:Issue>
    <b:Author>
      <b:Author>
        <b:NameList>
          <b:Person>
            <b:Last>Shaw</b:Last>
            <b:First>Cassie</b:First>
          </b:Person>
          <b:Person>
            <b:Last>Lowe</b:Last>
            <b:First>Tom</b:First>
          </b:Person>
        </b:NameList>
      </b:Author>
    </b:Author>
    <b:RefOrder>23</b:RefOrder>
  </b:Source>
  <b:Source>
    <b:Tag>Mar19</b:Tag>
    <b:SourceType>JournalArticle</b:SourceType>
    <b:Guid>{E4925F92-4DB1-4504-93A7-1341803A9B7C}</b:Guid>
    <b:Author>
      <b:Author>
        <b:NameList>
          <b:Person>
            <b:Last>Martens</b:Last>
            <b:First>S.</b:First>
            <b:Middle>E.</b:Middle>
          </b:Person>
          <b:Person>
            <b:Last>Meeuwissen</b:Last>
            <b:First>S.</b:First>
            <b:Middle>N. E.</b:Middle>
          </b:Person>
          <b:Person>
            <b:Last>Dolmans</b:Last>
            <b:First>D.</b:First>
            <b:Middle>H. J. M.</b:Middle>
          </b:Person>
          <b:Person>
            <b:Last>Bovill</b:Last>
            <b:First>C.</b:First>
          </b:Person>
          <b:Person>
            <b:Last>Könings</b:Last>
            <b:First>K.</b:First>
            <b:Middle>D.</b:Middle>
          </b:Person>
        </b:NameList>
      </b:Author>
    </b:Author>
    <b:Title>Student participation in the design of learning and teaching: Disentangling the terminology and approaches</b:Title>
    <b:JournalName>Medical Teacher</b:JournalName>
    <b:Year>2019</b:Year>
    <b:Pages>Published on-line ahead of print on May, 26th 2019. Doi: 10.1080/0142159X.2019.1615610</b:Pages>
    <b:RefOrder>24</b:RefOrder>
  </b:Source>
  <b:Source>
    <b:Tag>Jun15</b:Tag>
    <b:SourceType>JournalArticle</b:SourceType>
    <b:Guid>{F18D2511-713D-4204-A830-058871404FBC}</b:Guid>
    <b:Title>Student perspectives on quality in higher education</b:Title>
    <b:JournalName>European Journal of Higher Education</b:JournalName>
    <b:Year>2015</b:Year>
    <b:Pages>157-180</b:Pages>
    <b:Volume>5</b:Volume>
    <b:Issue>2</b:Issue>
    <b:Author>
      <b:Author>
        <b:NameList>
          <b:Person>
            <b:Last>Jungblut</b:Last>
            <b:First>Jens</b:First>
          </b:Person>
          <b:Person>
            <b:Last>Vukasovic</b:Last>
            <b:First>Martina</b:First>
          </b:Person>
          <b:Person>
            <b:Last>Stensaker</b:Last>
            <b:First>Bjørn</b:First>
          </b:Person>
        </b:NameList>
      </b:Author>
    </b:Author>
    <b:RefOrder>25</b:RefOrder>
  </b:Source>
  <b:Source>
    <b:Tag>Nai15</b:Tag>
    <b:SourceType>JournalArticle</b:SourceType>
    <b:Guid>{A29F2043-330F-4257-9B5B-27D3496224CC}</b:Guid>
    <b:Title>Academics’ feedback on the quality of appraisal evidence</b:Title>
    <b:JournalName>Quality Assurance in Education</b:JournalName>
    <b:Year>2015</b:Year>
    <b:Pages>279-294</b:Pages>
    <b:Volume>23</b:Volume>
    <b:Issue>3</b:Issue>
    <b:Author>
      <b:Author>
        <b:NameList>
          <b:Person>
            <b:Last>Nair</b:Last>
            <b:First>Chenicheri</b:First>
            <b:Middle>Sid</b:Middle>
          </b:Person>
          <b:Person>
            <b:Last>Li</b:Last>
            <b:First>Jinrui</b:First>
          </b:Person>
          <b:Person>
            <b:Last>Cai</b:Last>
            <b:First>Li</b:First>
            <b:Middle>Kun</b:Middle>
          </b:Person>
        </b:NameList>
      </b:Author>
    </b:Author>
    <b:RefOrder>26</b:RefOrder>
  </b:Source>
  <b:Source>
    <b:Tag>Kal171</b:Tag>
    <b:SourceType>JournalArticle</b:SourceType>
    <b:Guid>{09E49020-CD7B-40A8-A7B9-6784203EDA28}</b:Guid>
    <b:Title>Employability, managerialism, and performativity in higher education: a relational perspective</b:Title>
    <b:JournalName>Higher Education</b:JournalName>
    <b:Year>2017</b:Year>
    <b:Pages>687–699</b:Pages>
    <b:Volume>74</b:Volume>
    <b:Issue>4</b:Issue>
    <b:Author>
      <b:Author>
        <b:NameList>
          <b:Person>
            <b:Last>Kalfa</b:Last>
            <b:First>Senia</b:First>
          </b:Person>
          <b:Person>
            <b:Last>Taksa</b:Last>
            <b:First>Lucy</b:First>
          </b:Person>
        </b:NameList>
      </b:Author>
    </b:Author>
    <b:RefOrder>27</b:RefOrder>
  </b:Source>
  <b:Source>
    <b:Tag>Bur182</b:Tag>
    <b:SourceType>ConferenceProceedings</b:SourceType>
    <b:Guid>{6D5848BD-215C-456D-91AF-5206AB35F500}</b:Guid>
    <b:Title>Defining high quality teaching: perceptions of students and academics</b:Title>
    <b:Year>2018</b:Year>
    <b:Author>
      <b:Author>
        <b:NameList>
          <b:Person>
            <b:Last>Burden</b:Last>
            <b:First>Penny</b:First>
          </b:Person>
          <b:Person>
            <b:Last>Poma</b:Last>
            <b:First>Sabrina</b:First>
          </b:Person>
          <b:Person>
            <b:Last>Page</b:Last>
            <b:First>Nigel</b:First>
          </b:Person>
          <b:Person>
            <b:Last>Allen</b:Last>
            <b:First>Sophie</b:First>
          </b:Person>
          <b:Person>
            <b:Last>Birad</b:Last>
            <b:First>Jillian</b:First>
          </b:Person>
        </b:NameList>
      </b:Author>
    </b:Author>
    <b:ConferenceName>Understanding and improving the student experience: making a real difference in the new age of metrics; May, 10th-11th 2018</b:ConferenceName>
    <b:City>Leeds</b:City>
    <b:Publisher>SEDA Spring Teaching Learning and Assessment Conference</b:Publisher>
    <b:RefOrder>28</b:RefOrder>
  </b:Source>
  <b:Source>
    <b:Tag>Han172</b:Tag>
    <b:SourceType>Book</b:SourceType>
    <b:Guid>{0228CCCC-00D1-4473-84E1-ECB584C30490}</b:Guid>
    <b:Title>Doing Case Study Research: A Practical Guide for Beginning Researchers</b:Title>
    <b:Year>2017</b:Year>
    <b:City>New York, NY</b:City>
    <b:Publisher>Teachers College Press</b:Publisher>
    <b:Author>
      <b:Author>
        <b:NameList>
          <b:Person>
            <b:Last>Hancock</b:Last>
            <b:First>Dawson</b:First>
            <b:Middle>R.</b:Middle>
          </b:Person>
          <b:Person>
            <b:Last>Algozzine</b:Last>
            <b:First>Bob</b:First>
          </b:Person>
        </b:NameList>
      </b:Author>
    </b:Author>
    <b:RefOrder>29</b:RefOrder>
  </b:Source>
  <b:Source>
    <b:Tag>Yin12</b:Tag>
    <b:SourceType>Book</b:SourceType>
    <b:Guid>{9458C92D-B964-4824-9D16-B4FE17066318}</b:Guid>
    <b:Author>
      <b:Author>
        <b:NameList>
          <b:Person>
            <b:Last>Yin</b:Last>
            <b:First>Robert</b:First>
            <b:Middle>K.</b:Middle>
          </b:Person>
        </b:NameList>
      </b:Author>
    </b:Author>
    <b:Title>Applications of Case Study Research</b:Title>
    <b:Year>2012</b:Year>
    <b:City>London</b:City>
    <b:Publisher>Sage</b:Publisher>
    <b:RefOrder>30</b:RefOrder>
  </b:Source>
  <b:Source>
    <b:Tag>Yaz15</b:Tag>
    <b:SourceType>JournalArticle</b:SourceType>
    <b:Guid>{8B7E6E95-6981-4B94-B7C0-10D6046868EB}</b:Guid>
    <b:Title>Three Approaches to Case Study Methods in Education: Yin, Merriam, and Stake</b:Title>
    <b:Year>2015</b:Year>
    <b:Author>
      <b:Author>
        <b:NameList>
          <b:Person>
            <b:Last>Yazan</b:Last>
            <b:First>Bedrettin</b:First>
          </b:Person>
        </b:NameList>
      </b:Author>
    </b:Author>
    <b:JournalName>The Qualitative Report</b:JournalName>
    <b:Pages>134-152</b:Pages>
    <b:Volume>20</b:Volume>
    <b:Issue>2</b:Issue>
    <b:RefOrder>31</b:RefOrder>
  </b:Source>
  <b:Source>
    <b:Tag>Byr05</b:Tag>
    <b:SourceType>JournalArticle</b:SourceType>
    <b:Guid>{8A01D210-BD06-4D6A-A289-E34A3261140B}</b:Guid>
    <b:Author>
      <b:Author>
        <b:NameList>
          <b:Person>
            <b:Last>Byrne</b:Last>
            <b:First>Marann</b:First>
          </b:Person>
          <b:Person>
            <b:Last>Flood</b:Last>
            <b:First>Barbara</b:First>
          </b:Person>
        </b:NameList>
      </b:Author>
    </b:Author>
    <b:Title>A study of accounting students' motives, expectations and preparedness for higher education</b:Title>
    <b:JournalName>Journal of Further and Higher Education</b:JournalName>
    <b:Year>2005</b:Year>
    <b:Pages>111-124</b:Pages>
    <b:Volume>29</b:Volume>
    <b:Issue>2</b:Issue>
    <b:RefOrder>32</b:RefOrder>
  </b:Source>
  <b:Source>
    <b:Tag>Vos07</b:Tag>
    <b:SourceType>JournalArticle</b:SourceType>
    <b:Guid>{02FABB3F-EC13-4DD1-BA5A-F178168F4FF0}</b:Guid>
    <b:Author>
      <b:Author>
        <b:NameList>
          <b:Person>
            <b:Last>Voss</b:Last>
            <b:First>Roediger</b:First>
          </b:Person>
          <b:Person>
            <b:Last>Gruber</b:Last>
            <b:First>Thorsten</b:First>
          </b:Person>
          <b:Person>
            <b:Last>Szmiginc</b:Last>
            <b:First>Isabelle</b:First>
          </b:Person>
        </b:NameList>
      </b:Author>
    </b:Author>
    <b:Title>Service quality in higher education: The role of student expectations</b:Title>
    <b:JournalName>Journal of Business Research</b:JournalName>
    <b:Year>2007</b:Year>
    <b:Pages>949-959</b:Pages>
    <b:RefOrder>33</b:RefOrder>
  </b:Source>
  <b:Source>
    <b:Tag>Día10</b:Tag>
    <b:SourceType>JournalArticle</b:SourceType>
    <b:Guid>{97D4761E-4C6C-42D7-90A4-7955B21806B7}</b:Guid>
    <b:Title>Faculty attitudes and training needs to respond the new European Higher Education challenges</b:Title>
    <b:JournalName>Higher Education</b:JournalName>
    <b:Year>2010</b:Year>
    <b:Pages>101-118</b:Pages>
    <b:Volume>60</b:Volume>
    <b:Issue>1</b:Issue>
    <b:Author>
      <b:Author>
        <b:NameList>
          <b:Person>
            <b:Last>Díaz</b:Last>
            <b:First>María</b:First>
            <b:Middle>José Fernández</b:Middle>
          </b:Person>
          <b:Person>
            <b:Last>Santaolalla</b:Last>
            <b:First>Carballo</b:First>
            <b:Middle>Rafael</b:Middle>
          </b:Person>
          <b:Person>
            <b:Last>González</b:Last>
            <b:First>Arturo</b:First>
            <b:Middle>Galán</b:Middle>
          </b:Person>
        </b:NameList>
      </b:Author>
    </b:Author>
    <b:RefOrder>34</b:RefOrder>
  </b:Source>
  <b:Source>
    <b:Tag>Kok17</b:Tag>
    <b:SourceType>JournalArticle</b:SourceType>
    <b:Guid>{E6556180-B59A-4EA9-891F-3CAFBFEA2147}</b:Guid>
    <b:Author>
      <b:Author>
        <b:NameList>
          <b:Person>
            <b:Last>Kok</b:Last>
            <b:First>Seng</b:First>
            <b:Middle>Kiat</b:Middle>
          </b:Person>
          <b:Person>
            <b:Last>McDonald</b:Last>
            <b:First>Claire</b:First>
          </b:Person>
        </b:NameList>
      </b:Author>
    </b:Author>
    <b:Title>Underpinning excellence in higher education – an investigation into the leadership, governance and management behaviours of high-performing academic departments</b:Title>
    <b:JournalName>Studies in Higher Education</b:JournalName>
    <b:Year>2017</b:Year>
    <b:Pages>210-231</b:Pages>
    <b:Volume>42</b:Volume>
    <b:Issue>2</b:Issue>
    <b:RefOrder>35</b:RefOrder>
  </b:Source>
  <b:Source>
    <b:Tag>Anu18</b:Tag>
    <b:SourceType>JournalArticle</b:SourceType>
    <b:Guid>{68508471-F440-417C-8B4E-85FCBBCF03ED}</b:Guid>
    <b:Title>Motivation Among Higher Education Academicians: A Journey Through Literature Survey</b:Title>
    <b:JournalName>Amity Global HRM Review</b:JournalName>
    <b:Year>2018</b:Year>
    <b:Pages>55-61</b:Pages>
    <b:Volume>8</b:Volume>
    <b:Issue>1</b:Issue>
    <b:Author>
      <b:Author>
        <b:NameList>
          <b:Person>
            <b:Last>Anushree</b:Last>
            <b:First>Chauhan</b:First>
          </b:Person>
          <b:Person>
            <b:Last>Goel</b:Last>
            <b:First>Manisha</b:First>
          </b:Person>
          <b:Person>
            <b:Last>Arora</b:Last>
            <b:First>Ritu</b:First>
            <b:Middle>Gandhi</b:Middle>
          </b:Person>
        </b:NameList>
      </b:Author>
    </b:Author>
    <b:RefOrder>36</b:RefOrder>
  </b:Source>
  <b:Source>
    <b:Tag>Mer17</b:Tag>
    <b:SourceType>JournalArticle</b:SourceType>
    <b:Guid>{27B1BA31-C5F4-4EB8-AF70-58759B3926B4}</b:Guid>
    <b:Title>A Systematic Literature Review of Students as Partners in Higher Education</b:Title>
    <b:JournalName>International Journal of Students as Partners</b:JournalName>
    <b:Year>2017</b:Year>
    <b:Pages>1-23</b:Pages>
    <b:Volume>1</b:Volume>
    <b:Issue>1</b:Issue>
    <b:Author>
      <b:Author>
        <b:NameList>
          <b:Person>
            <b:Last>Mercer-Mapstone</b:Last>
            <b:First>Lucy</b:First>
          </b:Person>
          <b:Person>
            <b:Last>Dvorakova</b:Last>
            <b:First>Sam</b:First>
            <b:Middle>Lucie</b:Middle>
          </b:Person>
          <b:Person>
            <b:Last>Matthews</b:Last>
            <b:First>Kelly</b:First>
            <b:Middle>E.</b:Middle>
          </b:Person>
          <b:Person>
            <b:Last>Abbot</b:Last>
            <b:First>Sophia</b:First>
          </b:Person>
          <b:Person>
            <b:Last>Cheng</b:Last>
            <b:First>Breagh</b:First>
          </b:Person>
          <b:Person>
            <b:Last>Felten</b:Last>
            <b:First>Peter</b:First>
          </b:Person>
          <b:Person>
            <b:Last>Knorr</b:Last>
            <b:First>Kris</b:First>
          </b:Person>
          <b:Person>
            <b:Last>Marquis</b:Last>
            <b:First>Elizabeth</b:First>
          </b:Person>
          <b:Person>
            <b:Last>Shammas</b:Last>
            <b:First>Rafaella</b:First>
          </b:Person>
          <b:Person>
            <b:Last>Swaim</b:Last>
            <b:First>Kelly</b:First>
          </b:Person>
        </b:NameList>
      </b:Author>
    </b:Author>
    <b:RefOrder>37</b:RefOrder>
  </b:Source>
  <b:Source>
    <b:Tag>Kle172</b:Tag>
    <b:SourceType>JournalArticle</b:SourceType>
    <b:Guid>{D7264C58-6288-46F7-9DBE-88F5912711F6}</b:Guid>
    <b:Author>
      <b:Author>
        <b:NameList>
          <b:Person>
            <b:Last>Klemenčič</b:Last>
            <b:First>Manja</b:First>
          </b:Person>
        </b:NameList>
      </b:Author>
    </b:Author>
    <b:Title>From Student Engagement to Student Agency: Conceptual Considerations of European Policies on Student-Centered Learning in Higher Education</b:Title>
    <b:JournalName>Higher Education Policy</b:JournalName>
    <b:Year>2017</b:Year>
    <b:Pages>69–85</b:Pages>
    <b:Volume>30</b:Volume>
    <b:Issue>1</b:Issue>
    <b:RefOrder>38</b:RefOrder>
  </b:Source>
  <b:Source>
    <b:Tag>Mei161</b:Tag>
    <b:SourceType>JournalArticle</b:SourceType>
    <b:Guid>{62556F45-60C5-4BEB-8816-621B031E04A8}</b:Guid>
    <b:Author>
      <b:Author>
        <b:NameList>
          <b:Person>
            <b:Last>Meijer</b:Last>
            <b:First>Albert</b:First>
          </b:Person>
        </b:NameList>
      </b:Author>
    </b:Author>
    <b:Title>Coproduction as a structural transformation of the public sector</b:Title>
    <b:JournalName>International Journal of Public Sector Management</b:JournalName>
    <b:Year>2016</b:Year>
    <b:Pages>596-611</b:Pages>
    <b:Volume>29</b:Volume>
    <b:Issue>6</b:Issue>
    <b:RefOrder>39</b:RefOrder>
  </b:Source>
</b:Sources>
</file>

<file path=customXml/itemProps1.xml><?xml version="1.0" encoding="utf-8"?>
<ds:datastoreItem xmlns:ds="http://schemas.openxmlformats.org/officeDocument/2006/customXml" ds:itemID="{56F1DC5A-DCD0-4099-876C-13BB39F0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6718</Words>
  <Characters>36952</Characters>
  <Application>Microsoft Office Word</Application>
  <DocSecurity>0</DocSecurity>
  <Lines>307</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2019-07-07T10:23:00Z</dcterms:created>
  <dcterms:modified xsi:type="dcterms:W3CDTF">2019-07-07T10:23:00Z</dcterms:modified>
</cp:coreProperties>
</file>